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9.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28"/>
          <w:szCs w:val="28"/>
        </w:rPr>
        <w:id w:val="1967455512"/>
        <w:docPartObj>
          <w:docPartGallery w:val="Cover Pages"/>
          <w:docPartUnique/>
        </w:docPartObj>
      </w:sdtPr>
      <w:sdtEndPr>
        <w:rPr>
          <w:rFonts w:asciiTheme="minorHAnsi" w:eastAsiaTheme="minorHAnsi" w:hAnsiTheme="minorHAnsi" w:cstheme="minorBidi"/>
          <w:b/>
          <w:noProof/>
          <w:color w:val="FF0000"/>
          <w:sz w:val="36"/>
          <w:szCs w:val="22"/>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9101"/>
          </w:tblGrid>
          <w:tr w:rsidR="00B9364B" w:rsidRPr="00B9364B" w14:paraId="5559CDCA" w14:textId="77777777">
            <w:sdt>
              <w:sdtPr>
                <w:rPr>
                  <w:rFonts w:asciiTheme="majorHAnsi" w:eastAsiaTheme="majorEastAsia" w:hAnsiTheme="majorHAnsi" w:cstheme="majorBidi"/>
                  <w:sz w:val="28"/>
                  <w:szCs w:val="28"/>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68EC893D" w14:textId="5D0E2C32" w:rsidR="00B957AF" w:rsidRPr="008C5016" w:rsidRDefault="006A39FF" w:rsidP="008777C5">
                    <w:pPr>
                      <w:pStyle w:val="NoSpacing"/>
                      <w:spacing w:after="240"/>
                      <w:rPr>
                        <w:rFonts w:asciiTheme="majorHAnsi" w:eastAsiaTheme="majorEastAsia" w:hAnsiTheme="majorHAnsi" w:cstheme="majorBidi"/>
                        <w:sz w:val="28"/>
                        <w:szCs w:val="28"/>
                      </w:rPr>
                    </w:pPr>
                    <w:r>
                      <w:rPr>
                        <w:rFonts w:asciiTheme="majorHAnsi" w:eastAsiaTheme="majorEastAsia" w:hAnsiTheme="majorHAnsi" w:cstheme="majorBidi"/>
                        <w:sz w:val="28"/>
                        <w:szCs w:val="28"/>
                      </w:rPr>
                      <w:t>Coast Community College District</w:t>
                    </w:r>
                  </w:p>
                </w:tc>
              </w:sdtContent>
            </w:sdt>
          </w:tr>
          <w:tr w:rsidR="00B9364B" w:rsidRPr="00B9364B" w14:paraId="22E13822" w14:textId="77777777">
            <w:tc>
              <w:tcPr>
                <w:tcW w:w="7672" w:type="dxa"/>
              </w:tcPr>
              <w:sdt>
                <w:sdtPr>
                  <w:rPr>
                    <w:rFonts w:asciiTheme="majorHAnsi" w:eastAsiaTheme="majorEastAsia" w:hAnsiTheme="majorHAnsi" w:cstheme="majorBidi"/>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7138960C" w14:textId="0F2848D1" w:rsidR="00B957AF" w:rsidRPr="008C5016" w:rsidRDefault="006A39FF">
                    <w:pPr>
                      <w:pStyle w:val="NoSpacing"/>
                      <w:rPr>
                        <w:rFonts w:asciiTheme="majorHAnsi" w:eastAsiaTheme="majorEastAsia" w:hAnsiTheme="majorHAnsi" w:cstheme="majorBidi"/>
                        <w:sz w:val="80"/>
                        <w:szCs w:val="80"/>
                      </w:rPr>
                    </w:pPr>
                    <w:r>
                      <w:rPr>
                        <w:rFonts w:asciiTheme="majorHAnsi" w:eastAsiaTheme="majorEastAsia" w:hAnsiTheme="majorHAnsi" w:cstheme="majorBidi"/>
                        <w:sz w:val="80"/>
                        <w:szCs w:val="80"/>
                      </w:rPr>
                      <w:t>District-wide Annual Institutional Effectiveness Report</w:t>
                    </w:r>
                  </w:p>
                </w:sdtContent>
              </w:sdt>
            </w:tc>
          </w:tr>
          <w:tr w:rsidR="00B9364B" w:rsidRPr="00B9364B" w14:paraId="068D86B5" w14:textId="77777777">
            <w:sdt>
              <w:sdtPr>
                <w:rPr>
                  <w:rFonts w:asciiTheme="majorHAnsi" w:eastAsiaTheme="majorEastAsia" w:hAnsiTheme="majorHAnsi" w:cstheme="majorBidi"/>
                  <w:sz w:val="28"/>
                  <w:szCs w:val="2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53327E0" w14:textId="5E0A5E5D" w:rsidR="00B957AF" w:rsidRPr="008C5016" w:rsidRDefault="006A39FF" w:rsidP="006B6614">
                    <w:pPr>
                      <w:pStyle w:val="NoSpacing"/>
                      <w:spacing w:before="240"/>
                      <w:rPr>
                        <w:rFonts w:asciiTheme="majorHAnsi" w:eastAsiaTheme="majorEastAsia" w:hAnsiTheme="majorHAnsi" w:cstheme="majorBidi"/>
                        <w:sz w:val="28"/>
                        <w:szCs w:val="28"/>
                      </w:rPr>
                    </w:pPr>
                    <w:r>
                      <w:rPr>
                        <w:rFonts w:asciiTheme="majorHAnsi" w:eastAsiaTheme="majorEastAsia" w:hAnsiTheme="majorHAnsi" w:cstheme="majorBidi"/>
                        <w:sz w:val="28"/>
                        <w:szCs w:val="28"/>
                      </w:rPr>
                      <w:t>2016-17</w:t>
                    </w:r>
                  </w:p>
                </w:tc>
              </w:sdtContent>
            </w:sdt>
          </w:tr>
        </w:tbl>
        <w:p w14:paraId="7DFF79B0" w14:textId="45AC0FF6" w:rsidR="00B957AF" w:rsidRPr="00B9364B" w:rsidRDefault="00B957AF">
          <w:pPr>
            <w:rPr>
              <w:color w:val="FF0000"/>
            </w:rPr>
          </w:pPr>
          <w:r w:rsidRPr="00B9364B">
            <w:rPr>
              <w:b/>
              <w:noProof/>
              <w:color w:val="FF0000"/>
              <w:sz w:val="36"/>
            </w:rPr>
            <w:drawing>
              <wp:inline distT="0" distB="0" distL="0" distR="0" wp14:anchorId="74ED29C1" wp14:editId="4967D416">
                <wp:extent cx="6867525" cy="90077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D_LogoHead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7525" cy="900777"/>
                        </a:xfrm>
                        <a:prstGeom prst="rect">
                          <a:avLst/>
                        </a:prstGeom>
                      </pic:spPr>
                    </pic:pic>
                  </a:graphicData>
                </a:graphic>
              </wp:inline>
            </w:drawing>
          </w:r>
        </w:p>
        <w:tbl>
          <w:tblPr>
            <w:tblpPr w:leftFromText="187" w:rightFromText="187" w:horzAnchor="margin" w:tblpXSpec="center" w:tblpYSpec="bottom"/>
            <w:tblW w:w="4000" w:type="pct"/>
            <w:tblLook w:val="04A0" w:firstRow="1" w:lastRow="0" w:firstColumn="1" w:lastColumn="0" w:noHBand="0" w:noVBand="1"/>
          </w:tblPr>
          <w:tblGrid>
            <w:gridCol w:w="9101"/>
          </w:tblGrid>
          <w:tr w:rsidR="00B9364B" w:rsidRPr="00B9364B" w14:paraId="20C56D89" w14:textId="77777777">
            <w:tc>
              <w:tcPr>
                <w:tcW w:w="7672" w:type="dxa"/>
                <w:tcMar>
                  <w:top w:w="216" w:type="dxa"/>
                  <w:left w:w="115" w:type="dxa"/>
                  <w:bottom w:w="216" w:type="dxa"/>
                  <w:right w:w="115" w:type="dxa"/>
                </w:tcMar>
              </w:tcPr>
              <w:sdt>
                <w:sdt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4CEC48B4" w14:textId="66A3D72F" w:rsidR="00B957AF" w:rsidRPr="008C5016" w:rsidRDefault="006A39FF">
                    <w:pPr>
                      <w:pStyle w:val="NoSpacing"/>
                    </w:pPr>
                    <w:r>
                      <w:t>District Office of Research, Planning and Institutional Effectiveness</w:t>
                    </w:r>
                  </w:p>
                </w:sdtContent>
              </w:sdt>
              <w:sdt>
                <w:sdtPr>
                  <w:rPr>
                    <w:color w:val="FF0000"/>
                  </w:rPr>
                  <w:alias w:val="Date"/>
                  <w:id w:val="13406932"/>
                  <w:showingPlcHdr/>
                  <w:dataBinding w:prefixMappings="xmlns:ns0='http://schemas.microsoft.com/office/2006/coverPageProps'" w:xpath="/ns0:CoverPageProperties[1]/ns0:PublishDate[1]" w:storeItemID="{55AF091B-3C7A-41E3-B477-F2FDAA23CFDA}"/>
                  <w:date w:fullDate="2014-10-24T00:00:00Z">
                    <w:dateFormat w:val="M/d/yyyy"/>
                    <w:lid w:val="en-US"/>
                    <w:storeMappedDataAs w:val="dateTime"/>
                    <w:calendar w:val="gregorian"/>
                  </w:date>
                </w:sdtPr>
                <w:sdtEndPr/>
                <w:sdtContent>
                  <w:p w14:paraId="1FADED4C" w14:textId="3E53A5FF" w:rsidR="00B957AF" w:rsidRPr="00B9364B" w:rsidRDefault="007F4B5D">
                    <w:pPr>
                      <w:pStyle w:val="NoSpacing"/>
                      <w:rPr>
                        <w:color w:val="FF0000"/>
                      </w:rPr>
                    </w:pPr>
                    <w:r w:rsidRPr="00B9364B">
                      <w:rPr>
                        <w:color w:val="FF0000"/>
                      </w:rPr>
                      <w:t xml:space="preserve">     </w:t>
                    </w:r>
                  </w:p>
                </w:sdtContent>
              </w:sdt>
              <w:p w14:paraId="6E753028" w14:textId="77777777" w:rsidR="00B957AF" w:rsidRPr="00B9364B" w:rsidRDefault="00B957AF">
                <w:pPr>
                  <w:pStyle w:val="NoSpacing"/>
                  <w:rPr>
                    <w:color w:val="FF0000"/>
                  </w:rPr>
                </w:pPr>
              </w:p>
            </w:tc>
          </w:tr>
        </w:tbl>
        <w:p w14:paraId="5107F61D" w14:textId="77777777" w:rsidR="00B957AF" w:rsidRPr="00B9364B" w:rsidRDefault="00B957AF" w:rsidP="0089524A">
          <w:pPr>
            <w:rPr>
              <w:color w:val="FF0000"/>
            </w:rPr>
          </w:pPr>
        </w:p>
        <w:p w14:paraId="796D15DC" w14:textId="1D60EB38" w:rsidR="00B957AF" w:rsidRPr="00B9364B" w:rsidRDefault="00B957AF">
          <w:pPr>
            <w:rPr>
              <w:b/>
              <w:noProof/>
              <w:color w:val="FF0000"/>
              <w:sz w:val="36"/>
            </w:rPr>
          </w:pPr>
          <w:r w:rsidRPr="00B9364B">
            <w:rPr>
              <w:b/>
              <w:noProof/>
              <w:color w:val="FF0000"/>
              <w:sz w:val="36"/>
            </w:rPr>
            <w:br w:type="page"/>
          </w:r>
        </w:p>
      </w:sdtContent>
    </w:sdt>
    <w:p w14:paraId="0F9D5D4D" w14:textId="7350AF96" w:rsidR="0068253F" w:rsidRPr="00B9364B" w:rsidRDefault="005736C7" w:rsidP="00FC4B9A">
      <w:pPr>
        <w:autoSpaceDE w:val="0"/>
        <w:autoSpaceDN w:val="0"/>
        <w:adjustRightInd w:val="0"/>
        <w:jc w:val="center"/>
        <w:rPr>
          <w:b/>
          <w:color w:val="FF0000"/>
          <w:sz w:val="36"/>
        </w:rPr>
      </w:pPr>
      <w:r w:rsidRPr="00B9364B">
        <w:rPr>
          <w:b/>
          <w:noProof/>
          <w:color w:val="FF0000"/>
          <w:sz w:val="36"/>
        </w:rPr>
        <w:lastRenderedPageBreak/>
        <w:drawing>
          <wp:inline distT="0" distB="0" distL="0" distR="0" wp14:anchorId="0F9D6116" wp14:editId="0F9D6117">
            <wp:extent cx="6867525" cy="9007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D_LogoHead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7525" cy="900777"/>
                    </a:xfrm>
                    <a:prstGeom prst="rect">
                      <a:avLst/>
                    </a:prstGeom>
                  </pic:spPr>
                </pic:pic>
              </a:graphicData>
            </a:graphic>
          </wp:inline>
        </w:drawing>
      </w:r>
    </w:p>
    <w:p w14:paraId="0F9D5D4E" w14:textId="28F90355" w:rsidR="00FC4B9A" w:rsidRPr="00B9364B" w:rsidRDefault="00FC4B9A" w:rsidP="00FC4B9A">
      <w:pPr>
        <w:autoSpaceDE w:val="0"/>
        <w:autoSpaceDN w:val="0"/>
        <w:adjustRightInd w:val="0"/>
        <w:jc w:val="center"/>
        <w:rPr>
          <w:b/>
          <w:color w:val="FF0000"/>
          <w:sz w:val="36"/>
        </w:rPr>
      </w:pPr>
    </w:p>
    <w:p w14:paraId="2B13B180" w14:textId="77777777" w:rsidR="00B957AF" w:rsidRPr="00B9364B" w:rsidRDefault="00B957AF" w:rsidP="00FC4B9A">
      <w:pPr>
        <w:autoSpaceDE w:val="0"/>
        <w:autoSpaceDN w:val="0"/>
        <w:adjustRightInd w:val="0"/>
        <w:jc w:val="center"/>
        <w:rPr>
          <w:b/>
          <w:color w:val="FF0000"/>
          <w:sz w:val="36"/>
        </w:rPr>
      </w:pPr>
    </w:p>
    <w:p w14:paraId="2D8D3678" w14:textId="77777777" w:rsidR="00B957AF" w:rsidRPr="00B9364B" w:rsidRDefault="00B957AF" w:rsidP="00FC4B9A">
      <w:pPr>
        <w:autoSpaceDE w:val="0"/>
        <w:autoSpaceDN w:val="0"/>
        <w:adjustRightInd w:val="0"/>
        <w:jc w:val="center"/>
        <w:rPr>
          <w:b/>
          <w:color w:val="FF0000"/>
          <w:sz w:val="36"/>
        </w:rPr>
      </w:pPr>
    </w:p>
    <w:p w14:paraId="1D6F7190" w14:textId="77777777" w:rsidR="00B957AF" w:rsidRPr="00B9364B" w:rsidRDefault="00B957AF" w:rsidP="00FC4B9A">
      <w:pPr>
        <w:autoSpaceDE w:val="0"/>
        <w:autoSpaceDN w:val="0"/>
        <w:adjustRightInd w:val="0"/>
        <w:jc w:val="center"/>
        <w:rPr>
          <w:b/>
          <w:color w:val="FF0000"/>
          <w:sz w:val="36"/>
        </w:rPr>
      </w:pPr>
    </w:p>
    <w:p w14:paraId="0291501C" w14:textId="77777777" w:rsidR="007B2F86" w:rsidRPr="00B9364B" w:rsidRDefault="007B2F86" w:rsidP="007B2F86">
      <w:pPr>
        <w:tabs>
          <w:tab w:val="left" w:pos="7905"/>
        </w:tabs>
        <w:autoSpaceDE w:val="0"/>
        <w:autoSpaceDN w:val="0"/>
        <w:adjustRightInd w:val="0"/>
        <w:jc w:val="center"/>
        <w:rPr>
          <w:b/>
          <w:color w:val="FF0000"/>
          <w:sz w:val="36"/>
        </w:rPr>
      </w:pPr>
    </w:p>
    <w:p w14:paraId="1BBB0649" w14:textId="77777777" w:rsidR="007B2F86" w:rsidRPr="00B9364B" w:rsidRDefault="007B2F86" w:rsidP="007B2F86">
      <w:pPr>
        <w:tabs>
          <w:tab w:val="left" w:pos="7905"/>
        </w:tabs>
        <w:autoSpaceDE w:val="0"/>
        <w:autoSpaceDN w:val="0"/>
        <w:adjustRightInd w:val="0"/>
        <w:jc w:val="center"/>
        <w:rPr>
          <w:b/>
          <w:color w:val="FF0000"/>
          <w:sz w:val="36"/>
        </w:rPr>
      </w:pPr>
    </w:p>
    <w:p w14:paraId="70ECD644" w14:textId="77777777" w:rsidR="007B2F86" w:rsidRPr="00B9364B" w:rsidRDefault="007B2F86" w:rsidP="007B2F86">
      <w:pPr>
        <w:tabs>
          <w:tab w:val="left" w:pos="7905"/>
        </w:tabs>
        <w:autoSpaceDE w:val="0"/>
        <w:autoSpaceDN w:val="0"/>
        <w:adjustRightInd w:val="0"/>
        <w:jc w:val="center"/>
        <w:rPr>
          <w:b/>
          <w:color w:val="FF0000"/>
          <w:sz w:val="36"/>
        </w:rPr>
      </w:pPr>
    </w:p>
    <w:p w14:paraId="48E4E4F1" w14:textId="77777777" w:rsidR="007B2F86" w:rsidRPr="00B9364B" w:rsidRDefault="007B2F86" w:rsidP="007B2F86">
      <w:pPr>
        <w:tabs>
          <w:tab w:val="left" w:pos="7905"/>
        </w:tabs>
        <w:autoSpaceDE w:val="0"/>
        <w:autoSpaceDN w:val="0"/>
        <w:adjustRightInd w:val="0"/>
        <w:jc w:val="center"/>
        <w:rPr>
          <w:b/>
          <w:color w:val="FF0000"/>
          <w:sz w:val="36"/>
        </w:rPr>
      </w:pPr>
    </w:p>
    <w:p w14:paraId="102FBD28" w14:textId="77777777" w:rsidR="007B2F86" w:rsidRPr="00B9364B" w:rsidRDefault="007B2F86" w:rsidP="007B2F86">
      <w:pPr>
        <w:tabs>
          <w:tab w:val="left" w:pos="7905"/>
        </w:tabs>
        <w:autoSpaceDE w:val="0"/>
        <w:autoSpaceDN w:val="0"/>
        <w:adjustRightInd w:val="0"/>
        <w:jc w:val="center"/>
        <w:rPr>
          <w:b/>
          <w:color w:val="FF0000"/>
          <w:sz w:val="36"/>
        </w:rPr>
      </w:pPr>
    </w:p>
    <w:p w14:paraId="12786593" w14:textId="77777777" w:rsidR="007B2F86" w:rsidRPr="00B9364B" w:rsidRDefault="007B2F86" w:rsidP="007B2F86">
      <w:pPr>
        <w:tabs>
          <w:tab w:val="left" w:pos="7905"/>
        </w:tabs>
        <w:autoSpaceDE w:val="0"/>
        <w:autoSpaceDN w:val="0"/>
        <w:adjustRightInd w:val="0"/>
        <w:jc w:val="center"/>
        <w:rPr>
          <w:b/>
          <w:color w:val="FF0000"/>
          <w:sz w:val="36"/>
        </w:rPr>
      </w:pPr>
    </w:p>
    <w:p w14:paraId="2FDD7B2A" w14:textId="77777777" w:rsidR="007B2F86" w:rsidRPr="00B9364B" w:rsidRDefault="007B2F86" w:rsidP="007B2F86">
      <w:pPr>
        <w:tabs>
          <w:tab w:val="left" w:pos="7905"/>
        </w:tabs>
        <w:autoSpaceDE w:val="0"/>
        <w:autoSpaceDN w:val="0"/>
        <w:adjustRightInd w:val="0"/>
        <w:jc w:val="center"/>
        <w:rPr>
          <w:b/>
          <w:color w:val="FF0000"/>
          <w:sz w:val="36"/>
        </w:rPr>
      </w:pPr>
    </w:p>
    <w:p w14:paraId="0F9D5D5B" w14:textId="77777777" w:rsidR="001D6A77" w:rsidRPr="00B9364B" w:rsidRDefault="00B52ABF" w:rsidP="00DE208E">
      <w:pPr>
        <w:jc w:val="center"/>
        <w:rPr>
          <w:bCs/>
          <w:color w:val="FF0000"/>
          <w:spacing w:val="-15"/>
          <w:sz w:val="26"/>
          <w:szCs w:val="26"/>
        </w:rPr>
      </w:pPr>
      <w:r w:rsidRPr="00B9364B">
        <w:rPr>
          <w:b/>
          <w:bCs/>
          <w:color w:val="FF0000"/>
          <w:spacing w:val="-15"/>
          <w:sz w:val="26"/>
          <w:szCs w:val="26"/>
        </w:rPr>
        <w:br w:type="page"/>
      </w:r>
    </w:p>
    <w:p w14:paraId="0F9D5D5C" w14:textId="77777777" w:rsidR="001D6A77" w:rsidRPr="00B9364B" w:rsidRDefault="001D6A77" w:rsidP="00AC7A0F">
      <w:pPr>
        <w:jc w:val="center"/>
        <w:rPr>
          <w:color w:val="FF0000"/>
          <w:sz w:val="24"/>
          <w:szCs w:val="24"/>
        </w:rPr>
      </w:pPr>
    </w:p>
    <w:p w14:paraId="0F9D5D5D" w14:textId="77777777" w:rsidR="00B52ABF" w:rsidRPr="008C5016" w:rsidRDefault="00B52ABF" w:rsidP="00AC7A0F">
      <w:pPr>
        <w:jc w:val="center"/>
        <w:rPr>
          <w:b/>
          <w:sz w:val="48"/>
          <w:szCs w:val="24"/>
        </w:rPr>
      </w:pPr>
      <w:r w:rsidRPr="008C5016">
        <w:rPr>
          <w:b/>
          <w:sz w:val="48"/>
          <w:szCs w:val="24"/>
        </w:rPr>
        <w:t>Institutional Effectiveness</w:t>
      </w:r>
    </w:p>
    <w:p w14:paraId="0F9D5D5E" w14:textId="77777777" w:rsidR="00B52ABF" w:rsidRPr="008C5016" w:rsidRDefault="00B52ABF" w:rsidP="00AC7A0F">
      <w:pPr>
        <w:autoSpaceDE w:val="0"/>
        <w:autoSpaceDN w:val="0"/>
        <w:adjustRightInd w:val="0"/>
        <w:jc w:val="center"/>
        <w:rPr>
          <w:b/>
          <w:sz w:val="48"/>
          <w:szCs w:val="24"/>
        </w:rPr>
      </w:pPr>
      <w:r w:rsidRPr="008C5016">
        <w:rPr>
          <w:b/>
          <w:sz w:val="48"/>
          <w:szCs w:val="24"/>
        </w:rPr>
        <w:t>Annual Report</w:t>
      </w:r>
    </w:p>
    <w:p w14:paraId="0F9D5D5F" w14:textId="77777777" w:rsidR="00AC7A0F" w:rsidRPr="008C5016" w:rsidRDefault="00AC7A0F" w:rsidP="00AC7A0F">
      <w:pPr>
        <w:autoSpaceDE w:val="0"/>
        <w:autoSpaceDN w:val="0"/>
        <w:adjustRightInd w:val="0"/>
        <w:jc w:val="center"/>
        <w:rPr>
          <w:sz w:val="48"/>
          <w:szCs w:val="24"/>
        </w:rPr>
      </w:pPr>
    </w:p>
    <w:p w14:paraId="0F9D5D60" w14:textId="7BCC3EC9" w:rsidR="00B52ABF" w:rsidRPr="002927CF" w:rsidRDefault="006B6614" w:rsidP="00AC7A0F">
      <w:pPr>
        <w:autoSpaceDE w:val="0"/>
        <w:autoSpaceDN w:val="0"/>
        <w:adjustRightInd w:val="0"/>
        <w:jc w:val="center"/>
        <w:rPr>
          <w:sz w:val="44"/>
          <w:szCs w:val="24"/>
        </w:rPr>
      </w:pPr>
      <w:r w:rsidRPr="002927CF">
        <w:rPr>
          <w:sz w:val="44"/>
          <w:szCs w:val="24"/>
        </w:rPr>
        <w:t>20</w:t>
      </w:r>
      <w:r w:rsidR="00252CB3" w:rsidRPr="002927CF">
        <w:rPr>
          <w:sz w:val="44"/>
          <w:szCs w:val="24"/>
        </w:rPr>
        <w:t>16-17</w:t>
      </w:r>
    </w:p>
    <w:p w14:paraId="0F9D5D61" w14:textId="77777777" w:rsidR="00B52ABF" w:rsidRPr="002927CF" w:rsidRDefault="00B52ABF" w:rsidP="00AC7A0F">
      <w:pPr>
        <w:autoSpaceDE w:val="0"/>
        <w:autoSpaceDN w:val="0"/>
        <w:adjustRightInd w:val="0"/>
        <w:jc w:val="center"/>
        <w:rPr>
          <w:sz w:val="24"/>
          <w:szCs w:val="24"/>
        </w:rPr>
      </w:pPr>
    </w:p>
    <w:p w14:paraId="0F9D5D62" w14:textId="77777777" w:rsidR="00B52ABF" w:rsidRPr="002927CF" w:rsidRDefault="00B52ABF" w:rsidP="00AC7A0F">
      <w:pPr>
        <w:autoSpaceDE w:val="0"/>
        <w:autoSpaceDN w:val="0"/>
        <w:adjustRightInd w:val="0"/>
        <w:jc w:val="center"/>
        <w:rPr>
          <w:sz w:val="24"/>
          <w:szCs w:val="24"/>
        </w:rPr>
      </w:pPr>
    </w:p>
    <w:p w14:paraId="0F9D5D63" w14:textId="77777777" w:rsidR="00B52ABF" w:rsidRPr="002927CF" w:rsidRDefault="00B52ABF" w:rsidP="00AC7A0F">
      <w:pPr>
        <w:autoSpaceDE w:val="0"/>
        <w:autoSpaceDN w:val="0"/>
        <w:adjustRightInd w:val="0"/>
        <w:jc w:val="center"/>
        <w:rPr>
          <w:sz w:val="24"/>
          <w:szCs w:val="24"/>
        </w:rPr>
      </w:pPr>
    </w:p>
    <w:p w14:paraId="0F9D5D64" w14:textId="77777777" w:rsidR="00B52ABF" w:rsidRPr="002927CF" w:rsidRDefault="00B52ABF" w:rsidP="00AC7A0F">
      <w:pPr>
        <w:autoSpaceDE w:val="0"/>
        <w:autoSpaceDN w:val="0"/>
        <w:adjustRightInd w:val="0"/>
        <w:jc w:val="center"/>
        <w:rPr>
          <w:sz w:val="24"/>
          <w:szCs w:val="24"/>
        </w:rPr>
      </w:pPr>
      <w:r w:rsidRPr="002927CF">
        <w:rPr>
          <w:sz w:val="24"/>
          <w:szCs w:val="24"/>
        </w:rPr>
        <w:t>Office</w:t>
      </w:r>
      <w:r w:rsidR="002D35B3" w:rsidRPr="002927CF">
        <w:rPr>
          <w:sz w:val="24"/>
          <w:szCs w:val="24"/>
        </w:rPr>
        <w:t xml:space="preserve"> of the Chancellor</w:t>
      </w:r>
    </w:p>
    <w:p w14:paraId="0F9D5D65" w14:textId="77777777" w:rsidR="00B52ABF" w:rsidRPr="002927CF" w:rsidRDefault="002D35B3" w:rsidP="00AC7A0F">
      <w:pPr>
        <w:autoSpaceDE w:val="0"/>
        <w:autoSpaceDN w:val="0"/>
        <w:adjustRightInd w:val="0"/>
        <w:jc w:val="center"/>
        <w:rPr>
          <w:sz w:val="24"/>
          <w:szCs w:val="24"/>
        </w:rPr>
      </w:pPr>
      <w:r w:rsidRPr="002927CF">
        <w:rPr>
          <w:sz w:val="24"/>
          <w:szCs w:val="24"/>
        </w:rPr>
        <w:t>Coast Community College District</w:t>
      </w:r>
    </w:p>
    <w:p w14:paraId="0F9D5D66" w14:textId="77777777" w:rsidR="00B52ABF" w:rsidRPr="002927CF" w:rsidRDefault="002D35B3" w:rsidP="00AC7A0F">
      <w:pPr>
        <w:autoSpaceDE w:val="0"/>
        <w:autoSpaceDN w:val="0"/>
        <w:adjustRightInd w:val="0"/>
        <w:jc w:val="center"/>
        <w:rPr>
          <w:sz w:val="24"/>
          <w:szCs w:val="24"/>
        </w:rPr>
      </w:pPr>
      <w:r w:rsidRPr="002927CF">
        <w:rPr>
          <w:sz w:val="24"/>
          <w:szCs w:val="24"/>
        </w:rPr>
        <w:t>1370 Adams Ave.</w:t>
      </w:r>
    </w:p>
    <w:p w14:paraId="0F9D5D67" w14:textId="77777777" w:rsidR="00B52ABF" w:rsidRPr="002927CF" w:rsidRDefault="002D35B3" w:rsidP="00AC7A0F">
      <w:pPr>
        <w:autoSpaceDE w:val="0"/>
        <w:autoSpaceDN w:val="0"/>
        <w:adjustRightInd w:val="0"/>
        <w:jc w:val="center"/>
        <w:rPr>
          <w:sz w:val="24"/>
          <w:szCs w:val="24"/>
        </w:rPr>
      </w:pPr>
      <w:r w:rsidRPr="002927CF">
        <w:rPr>
          <w:sz w:val="24"/>
          <w:szCs w:val="24"/>
        </w:rPr>
        <w:t>Costa Mesa, CA 92626</w:t>
      </w:r>
    </w:p>
    <w:p w14:paraId="0F9D5D68" w14:textId="77777777" w:rsidR="00B52ABF" w:rsidRPr="002927CF" w:rsidRDefault="002D35B3" w:rsidP="00AC7A0F">
      <w:pPr>
        <w:autoSpaceDE w:val="0"/>
        <w:autoSpaceDN w:val="0"/>
        <w:adjustRightInd w:val="0"/>
        <w:jc w:val="center"/>
        <w:rPr>
          <w:sz w:val="24"/>
          <w:szCs w:val="24"/>
        </w:rPr>
      </w:pPr>
      <w:r w:rsidRPr="002927CF">
        <w:rPr>
          <w:sz w:val="24"/>
          <w:szCs w:val="24"/>
        </w:rPr>
        <w:t>(714) 438-4600</w:t>
      </w:r>
    </w:p>
    <w:p w14:paraId="0F9D5D69" w14:textId="77777777" w:rsidR="00B52ABF" w:rsidRPr="002927CF" w:rsidRDefault="002D35B3" w:rsidP="00AC7A0F">
      <w:pPr>
        <w:autoSpaceDE w:val="0"/>
        <w:autoSpaceDN w:val="0"/>
        <w:adjustRightInd w:val="0"/>
        <w:jc w:val="center"/>
        <w:rPr>
          <w:sz w:val="24"/>
          <w:szCs w:val="24"/>
        </w:rPr>
      </w:pPr>
      <w:r w:rsidRPr="002927CF">
        <w:rPr>
          <w:sz w:val="24"/>
          <w:szCs w:val="24"/>
        </w:rPr>
        <w:t>www.cccd.ed</w:t>
      </w:r>
      <w:r w:rsidR="00B52ABF" w:rsidRPr="002927CF">
        <w:rPr>
          <w:sz w:val="24"/>
          <w:szCs w:val="24"/>
        </w:rPr>
        <w:t>u</w:t>
      </w:r>
    </w:p>
    <w:p w14:paraId="0F9D5D6A" w14:textId="77777777" w:rsidR="00B52ABF" w:rsidRPr="002927CF" w:rsidRDefault="00B52ABF" w:rsidP="00AC7A0F">
      <w:pPr>
        <w:autoSpaceDE w:val="0"/>
        <w:autoSpaceDN w:val="0"/>
        <w:adjustRightInd w:val="0"/>
        <w:jc w:val="center"/>
        <w:rPr>
          <w:sz w:val="24"/>
          <w:szCs w:val="24"/>
        </w:rPr>
      </w:pPr>
    </w:p>
    <w:p w14:paraId="0EB0BF9B" w14:textId="77777777" w:rsidR="003B74C2" w:rsidRPr="002927CF" w:rsidRDefault="003B74C2" w:rsidP="00AC7A0F">
      <w:pPr>
        <w:autoSpaceDE w:val="0"/>
        <w:autoSpaceDN w:val="0"/>
        <w:adjustRightInd w:val="0"/>
        <w:jc w:val="center"/>
        <w:rPr>
          <w:sz w:val="24"/>
          <w:szCs w:val="24"/>
        </w:rPr>
      </w:pPr>
    </w:p>
    <w:p w14:paraId="2DB35F79" w14:textId="77777777" w:rsidR="003B74C2" w:rsidRPr="002927CF" w:rsidRDefault="003B74C2" w:rsidP="00AC7A0F">
      <w:pPr>
        <w:autoSpaceDE w:val="0"/>
        <w:autoSpaceDN w:val="0"/>
        <w:adjustRightInd w:val="0"/>
        <w:jc w:val="center"/>
        <w:rPr>
          <w:sz w:val="24"/>
          <w:szCs w:val="24"/>
        </w:rPr>
      </w:pPr>
    </w:p>
    <w:p w14:paraId="55626758" w14:textId="77777777" w:rsidR="003B74C2" w:rsidRPr="002927CF" w:rsidRDefault="003B74C2" w:rsidP="00AC7A0F">
      <w:pPr>
        <w:autoSpaceDE w:val="0"/>
        <w:autoSpaceDN w:val="0"/>
        <w:adjustRightInd w:val="0"/>
        <w:jc w:val="center"/>
        <w:rPr>
          <w:sz w:val="24"/>
          <w:szCs w:val="24"/>
        </w:rPr>
      </w:pPr>
    </w:p>
    <w:p w14:paraId="3B237243" w14:textId="77777777" w:rsidR="003B74C2" w:rsidRPr="002927CF" w:rsidRDefault="003B74C2" w:rsidP="00AC7A0F">
      <w:pPr>
        <w:autoSpaceDE w:val="0"/>
        <w:autoSpaceDN w:val="0"/>
        <w:adjustRightInd w:val="0"/>
        <w:jc w:val="center"/>
        <w:rPr>
          <w:sz w:val="24"/>
          <w:szCs w:val="24"/>
        </w:rPr>
      </w:pPr>
    </w:p>
    <w:p w14:paraId="59E33F44" w14:textId="77777777" w:rsidR="003B74C2" w:rsidRPr="002927CF" w:rsidRDefault="003B74C2" w:rsidP="00AC7A0F">
      <w:pPr>
        <w:autoSpaceDE w:val="0"/>
        <w:autoSpaceDN w:val="0"/>
        <w:adjustRightInd w:val="0"/>
        <w:jc w:val="center"/>
        <w:rPr>
          <w:sz w:val="24"/>
          <w:szCs w:val="24"/>
        </w:rPr>
      </w:pPr>
    </w:p>
    <w:p w14:paraId="7DFF061D" w14:textId="77777777" w:rsidR="003B74C2" w:rsidRPr="002927CF" w:rsidRDefault="003B74C2" w:rsidP="00AC7A0F">
      <w:pPr>
        <w:autoSpaceDE w:val="0"/>
        <w:autoSpaceDN w:val="0"/>
        <w:adjustRightInd w:val="0"/>
        <w:jc w:val="center"/>
        <w:rPr>
          <w:sz w:val="24"/>
          <w:szCs w:val="24"/>
        </w:rPr>
      </w:pPr>
    </w:p>
    <w:p w14:paraId="3B9A94C0" w14:textId="77777777" w:rsidR="003B74C2" w:rsidRPr="002927CF" w:rsidRDefault="003B74C2" w:rsidP="00AC7A0F">
      <w:pPr>
        <w:autoSpaceDE w:val="0"/>
        <w:autoSpaceDN w:val="0"/>
        <w:adjustRightInd w:val="0"/>
        <w:jc w:val="center"/>
        <w:rPr>
          <w:sz w:val="24"/>
          <w:szCs w:val="24"/>
        </w:rPr>
      </w:pPr>
    </w:p>
    <w:p w14:paraId="34495A4D" w14:textId="77777777" w:rsidR="003B74C2" w:rsidRPr="002927CF" w:rsidRDefault="003B74C2" w:rsidP="00AC7A0F">
      <w:pPr>
        <w:autoSpaceDE w:val="0"/>
        <w:autoSpaceDN w:val="0"/>
        <w:adjustRightInd w:val="0"/>
        <w:jc w:val="center"/>
        <w:rPr>
          <w:sz w:val="24"/>
          <w:szCs w:val="24"/>
        </w:rPr>
      </w:pPr>
    </w:p>
    <w:p w14:paraId="7D19F98F" w14:textId="77777777" w:rsidR="003B74C2" w:rsidRPr="002927CF" w:rsidRDefault="003B74C2" w:rsidP="00AC7A0F">
      <w:pPr>
        <w:autoSpaceDE w:val="0"/>
        <w:autoSpaceDN w:val="0"/>
        <w:adjustRightInd w:val="0"/>
        <w:jc w:val="center"/>
        <w:rPr>
          <w:sz w:val="24"/>
          <w:szCs w:val="24"/>
        </w:rPr>
      </w:pPr>
    </w:p>
    <w:p w14:paraId="6887EEFD" w14:textId="77777777" w:rsidR="003B74C2" w:rsidRPr="002927CF" w:rsidRDefault="003B74C2" w:rsidP="00AC7A0F">
      <w:pPr>
        <w:autoSpaceDE w:val="0"/>
        <w:autoSpaceDN w:val="0"/>
        <w:adjustRightInd w:val="0"/>
        <w:jc w:val="center"/>
        <w:rPr>
          <w:sz w:val="24"/>
          <w:szCs w:val="24"/>
        </w:rPr>
      </w:pPr>
    </w:p>
    <w:p w14:paraId="41E84C7B" w14:textId="77777777" w:rsidR="003B74C2" w:rsidRPr="002927CF" w:rsidRDefault="003B74C2" w:rsidP="00AC7A0F">
      <w:pPr>
        <w:autoSpaceDE w:val="0"/>
        <w:autoSpaceDN w:val="0"/>
        <w:adjustRightInd w:val="0"/>
        <w:jc w:val="center"/>
        <w:rPr>
          <w:sz w:val="24"/>
          <w:szCs w:val="24"/>
        </w:rPr>
      </w:pPr>
    </w:p>
    <w:p w14:paraId="07CAEC18" w14:textId="4DB7BB20" w:rsidR="003B74C2" w:rsidRPr="002927CF" w:rsidRDefault="00AC5DE3" w:rsidP="00AC7A0F">
      <w:pPr>
        <w:autoSpaceDE w:val="0"/>
        <w:autoSpaceDN w:val="0"/>
        <w:adjustRightInd w:val="0"/>
        <w:jc w:val="center"/>
        <w:rPr>
          <w:sz w:val="24"/>
          <w:szCs w:val="24"/>
        </w:rPr>
      </w:pPr>
      <w:r w:rsidRPr="002927CF">
        <w:rPr>
          <w:sz w:val="24"/>
          <w:szCs w:val="24"/>
        </w:rPr>
        <w:t xml:space="preserve">February </w:t>
      </w:r>
      <w:r w:rsidR="008168D7">
        <w:rPr>
          <w:sz w:val="24"/>
          <w:szCs w:val="24"/>
        </w:rPr>
        <w:t>12</w:t>
      </w:r>
      <w:r w:rsidRPr="002927CF">
        <w:rPr>
          <w:sz w:val="24"/>
          <w:szCs w:val="24"/>
        </w:rPr>
        <w:t>, 2018</w:t>
      </w:r>
    </w:p>
    <w:p w14:paraId="0F9D5D6B" w14:textId="77777777" w:rsidR="00B52ABF" w:rsidRPr="00B9364B" w:rsidRDefault="00B52ABF" w:rsidP="00AC7A0F">
      <w:pPr>
        <w:autoSpaceDE w:val="0"/>
        <w:autoSpaceDN w:val="0"/>
        <w:adjustRightInd w:val="0"/>
        <w:jc w:val="center"/>
        <w:rPr>
          <w:color w:val="FF0000"/>
          <w:sz w:val="24"/>
          <w:szCs w:val="24"/>
        </w:rPr>
      </w:pPr>
    </w:p>
    <w:p w14:paraId="0F9D5D6C" w14:textId="77777777" w:rsidR="00B52ABF" w:rsidRPr="00B9364B" w:rsidRDefault="00B52ABF" w:rsidP="00AC7A0F">
      <w:pPr>
        <w:autoSpaceDE w:val="0"/>
        <w:autoSpaceDN w:val="0"/>
        <w:adjustRightInd w:val="0"/>
        <w:jc w:val="center"/>
        <w:rPr>
          <w:color w:val="FF0000"/>
          <w:sz w:val="24"/>
          <w:szCs w:val="24"/>
        </w:rPr>
      </w:pPr>
    </w:p>
    <w:p w14:paraId="0F9D5D6D" w14:textId="77777777" w:rsidR="00B52ABF" w:rsidRPr="00B9364B" w:rsidRDefault="00B52ABF" w:rsidP="00AC7A0F">
      <w:pPr>
        <w:autoSpaceDE w:val="0"/>
        <w:autoSpaceDN w:val="0"/>
        <w:adjustRightInd w:val="0"/>
        <w:jc w:val="center"/>
        <w:rPr>
          <w:color w:val="FF0000"/>
          <w:sz w:val="24"/>
          <w:szCs w:val="24"/>
        </w:rPr>
      </w:pPr>
    </w:p>
    <w:p w14:paraId="0F9D5D6E" w14:textId="77777777" w:rsidR="00B52ABF" w:rsidRPr="00B9364B" w:rsidRDefault="00B52ABF" w:rsidP="00AC7A0F">
      <w:pPr>
        <w:autoSpaceDE w:val="0"/>
        <w:autoSpaceDN w:val="0"/>
        <w:adjustRightInd w:val="0"/>
        <w:jc w:val="center"/>
        <w:rPr>
          <w:color w:val="FF0000"/>
          <w:sz w:val="24"/>
          <w:szCs w:val="24"/>
        </w:rPr>
      </w:pPr>
    </w:p>
    <w:p w14:paraId="0F9D5D6F" w14:textId="77777777" w:rsidR="00B52ABF" w:rsidRPr="00B9364B" w:rsidRDefault="00B52ABF" w:rsidP="00AC7A0F">
      <w:pPr>
        <w:autoSpaceDE w:val="0"/>
        <w:autoSpaceDN w:val="0"/>
        <w:adjustRightInd w:val="0"/>
        <w:jc w:val="center"/>
        <w:rPr>
          <w:color w:val="FF0000"/>
          <w:sz w:val="24"/>
          <w:szCs w:val="24"/>
        </w:rPr>
      </w:pPr>
    </w:p>
    <w:p w14:paraId="0F9D5D70" w14:textId="77777777" w:rsidR="00B52ABF" w:rsidRPr="00B9364B" w:rsidRDefault="00B52ABF" w:rsidP="00AC7A0F">
      <w:pPr>
        <w:autoSpaceDE w:val="0"/>
        <w:autoSpaceDN w:val="0"/>
        <w:adjustRightInd w:val="0"/>
        <w:jc w:val="center"/>
        <w:rPr>
          <w:color w:val="FF0000"/>
          <w:sz w:val="24"/>
          <w:szCs w:val="24"/>
        </w:rPr>
      </w:pPr>
    </w:p>
    <w:p w14:paraId="0F9D5D71" w14:textId="77777777" w:rsidR="00B52ABF" w:rsidRPr="00B9364B" w:rsidRDefault="00B52ABF" w:rsidP="00AC7A0F">
      <w:pPr>
        <w:autoSpaceDE w:val="0"/>
        <w:autoSpaceDN w:val="0"/>
        <w:adjustRightInd w:val="0"/>
        <w:jc w:val="center"/>
        <w:rPr>
          <w:color w:val="FF0000"/>
          <w:sz w:val="24"/>
          <w:szCs w:val="24"/>
        </w:rPr>
      </w:pPr>
    </w:p>
    <w:p w14:paraId="0F9D5D72" w14:textId="77777777" w:rsidR="00B52ABF" w:rsidRPr="00B9364B" w:rsidRDefault="00B52ABF" w:rsidP="00AC7A0F">
      <w:pPr>
        <w:autoSpaceDE w:val="0"/>
        <w:autoSpaceDN w:val="0"/>
        <w:adjustRightInd w:val="0"/>
        <w:jc w:val="center"/>
        <w:rPr>
          <w:color w:val="FF0000"/>
          <w:sz w:val="24"/>
          <w:szCs w:val="24"/>
        </w:rPr>
      </w:pPr>
    </w:p>
    <w:p w14:paraId="0F9D5D73" w14:textId="77777777" w:rsidR="00B52ABF" w:rsidRPr="00B9364B" w:rsidRDefault="00B52ABF" w:rsidP="00AC7A0F">
      <w:pPr>
        <w:autoSpaceDE w:val="0"/>
        <w:autoSpaceDN w:val="0"/>
        <w:adjustRightInd w:val="0"/>
        <w:jc w:val="center"/>
        <w:rPr>
          <w:color w:val="FF0000"/>
          <w:sz w:val="24"/>
          <w:szCs w:val="24"/>
        </w:rPr>
      </w:pPr>
    </w:p>
    <w:p w14:paraId="0F9D5D74" w14:textId="77777777" w:rsidR="00B52ABF" w:rsidRPr="00B9364B" w:rsidRDefault="00B52ABF" w:rsidP="00AC7A0F">
      <w:pPr>
        <w:autoSpaceDE w:val="0"/>
        <w:autoSpaceDN w:val="0"/>
        <w:adjustRightInd w:val="0"/>
        <w:jc w:val="center"/>
        <w:rPr>
          <w:color w:val="FF0000"/>
          <w:sz w:val="24"/>
          <w:szCs w:val="24"/>
        </w:rPr>
      </w:pPr>
    </w:p>
    <w:p w14:paraId="0F9D5D75" w14:textId="77777777" w:rsidR="00A314A7" w:rsidRPr="00B9364B" w:rsidRDefault="00A314A7" w:rsidP="00AC7A0F">
      <w:pPr>
        <w:autoSpaceDE w:val="0"/>
        <w:autoSpaceDN w:val="0"/>
        <w:adjustRightInd w:val="0"/>
        <w:jc w:val="center"/>
        <w:rPr>
          <w:color w:val="FF0000"/>
          <w:sz w:val="24"/>
          <w:szCs w:val="24"/>
        </w:rPr>
      </w:pPr>
    </w:p>
    <w:p w14:paraId="0F9D5D76" w14:textId="77777777" w:rsidR="00A314A7" w:rsidRPr="00B9364B" w:rsidRDefault="00A314A7" w:rsidP="00AC7A0F">
      <w:pPr>
        <w:autoSpaceDE w:val="0"/>
        <w:autoSpaceDN w:val="0"/>
        <w:adjustRightInd w:val="0"/>
        <w:jc w:val="center"/>
        <w:rPr>
          <w:color w:val="FF0000"/>
          <w:sz w:val="24"/>
          <w:szCs w:val="24"/>
        </w:rPr>
      </w:pPr>
    </w:p>
    <w:p w14:paraId="0F9D5D78" w14:textId="77777777" w:rsidR="00AC7A0F" w:rsidRPr="00B9364B" w:rsidRDefault="00B52ABF" w:rsidP="00AC7A0F">
      <w:pPr>
        <w:rPr>
          <w:color w:val="FF0000"/>
          <w:sz w:val="24"/>
          <w:szCs w:val="24"/>
        </w:rPr>
      </w:pPr>
      <w:r w:rsidRPr="00B9364B">
        <w:rPr>
          <w:color w:val="FF0000"/>
          <w:sz w:val="24"/>
          <w:szCs w:val="24"/>
        </w:rPr>
        <w:br w:type="page"/>
      </w:r>
    </w:p>
    <w:p w14:paraId="0F9D5D79" w14:textId="77777777" w:rsidR="00B52ABF" w:rsidRPr="008C5016" w:rsidRDefault="00D4505A" w:rsidP="00AC7A0F">
      <w:pPr>
        <w:rPr>
          <w:b/>
          <w:sz w:val="26"/>
          <w:szCs w:val="26"/>
        </w:rPr>
      </w:pPr>
      <w:r w:rsidRPr="008C5016">
        <w:rPr>
          <w:b/>
          <w:sz w:val="26"/>
          <w:szCs w:val="26"/>
        </w:rPr>
        <w:lastRenderedPageBreak/>
        <w:t>COAST</w:t>
      </w:r>
      <w:r w:rsidR="00B52ABF" w:rsidRPr="008C5016">
        <w:rPr>
          <w:b/>
          <w:sz w:val="26"/>
          <w:szCs w:val="26"/>
        </w:rPr>
        <w:t xml:space="preserve"> COMMUNITY COLLEGE DISTRICT</w:t>
      </w:r>
    </w:p>
    <w:p w14:paraId="0F9D5D7A" w14:textId="77777777" w:rsidR="00B52ABF" w:rsidRPr="008C5016" w:rsidRDefault="00B52ABF" w:rsidP="00B52ABF">
      <w:pPr>
        <w:autoSpaceDE w:val="0"/>
        <w:autoSpaceDN w:val="0"/>
        <w:adjustRightInd w:val="0"/>
        <w:rPr>
          <w:b/>
          <w:spacing w:val="-15"/>
          <w:sz w:val="26"/>
          <w:szCs w:val="26"/>
        </w:rPr>
      </w:pPr>
      <w:r w:rsidRPr="008C5016">
        <w:rPr>
          <w:b/>
          <w:sz w:val="26"/>
          <w:szCs w:val="26"/>
        </w:rPr>
        <w:t>BOARD OF TRUSTEES</w:t>
      </w:r>
    </w:p>
    <w:p w14:paraId="0F9D5D7B" w14:textId="77777777" w:rsidR="00B52ABF" w:rsidRPr="008C5016" w:rsidRDefault="00B52ABF" w:rsidP="00B52ABF">
      <w:pPr>
        <w:autoSpaceDE w:val="0"/>
        <w:autoSpaceDN w:val="0"/>
        <w:adjustRightInd w:val="0"/>
      </w:pPr>
    </w:p>
    <w:p w14:paraId="0F9D5D7C" w14:textId="77777777" w:rsidR="00AC7A0F" w:rsidRPr="008C5016" w:rsidRDefault="00AC7A0F" w:rsidP="00B52ABF">
      <w:pPr>
        <w:autoSpaceDE w:val="0"/>
        <w:autoSpaceDN w:val="0"/>
        <w:adjustRightInd w:val="0"/>
      </w:pPr>
    </w:p>
    <w:p w14:paraId="0F9D5D7D" w14:textId="28018545" w:rsidR="00B52ABF" w:rsidRPr="008C5016" w:rsidRDefault="00B52ABF" w:rsidP="00B52ABF">
      <w:pPr>
        <w:autoSpaceDE w:val="0"/>
        <w:autoSpaceDN w:val="0"/>
        <w:adjustRightInd w:val="0"/>
        <w:rPr>
          <w:szCs w:val="24"/>
        </w:rPr>
      </w:pPr>
      <w:r w:rsidRPr="008C5016">
        <w:rPr>
          <w:szCs w:val="24"/>
        </w:rPr>
        <w:t>The following citizens currently serve</w:t>
      </w:r>
      <w:r w:rsidR="00D4505A" w:rsidRPr="008C5016">
        <w:rPr>
          <w:szCs w:val="24"/>
        </w:rPr>
        <w:t xml:space="preserve"> as members of the Coast</w:t>
      </w:r>
      <w:r w:rsidRPr="008C5016">
        <w:rPr>
          <w:szCs w:val="24"/>
        </w:rPr>
        <w:t xml:space="preserve"> Community College District Board of Trustees:</w:t>
      </w:r>
    </w:p>
    <w:p w14:paraId="0F9D5D7E" w14:textId="05C6E4DE" w:rsidR="00B52ABF" w:rsidRPr="008C5016" w:rsidRDefault="00B52ABF" w:rsidP="00B52ABF">
      <w:pPr>
        <w:autoSpaceDE w:val="0"/>
        <w:autoSpaceDN w:val="0"/>
        <w:adjustRightInd w:val="0"/>
        <w:rPr>
          <w:szCs w:val="24"/>
        </w:rPr>
      </w:pPr>
    </w:p>
    <w:p w14:paraId="3336F26F" w14:textId="3B5AEE01" w:rsidR="004B6605" w:rsidRPr="008C5016" w:rsidRDefault="004B6605" w:rsidP="004B6605">
      <w:pPr>
        <w:autoSpaceDE w:val="0"/>
        <w:autoSpaceDN w:val="0"/>
        <w:adjustRightInd w:val="0"/>
        <w:rPr>
          <w:i/>
          <w:iCs/>
          <w:szCs w:val="24"/>
        </w:rPr>
      </w:pPr>
      <w:r w:rsidRPr="008C5016">
        <w:rPr>
          <w:i/>
          <w:iCs/>
          <w:szCs w:val="24"/>
        </w:rPr>
        <w:t>Mary K. Hornbuckle, President</w:t>
      </w:r>
    </w:p>
    <w:p w14:paraId="0F9D5D7F" w14:textId="70034BD9" w:rsidR="002D4BB8" w:rsidRPr="008C5016" w:rsidRDefault="007768A8" w:rsidP="00B52ABF">
      <w:pPr>
        <w:autoSpaceDE w:val="0"/>
        <w:autoSpaceDN w:val="0"/>
        <w:adjustRightInd w:val="0"/>
        <w:rPr>
          <w:i/>
          <w:iCs/>
          <w:szCs w:val="24"/>
        </w:rPr>
      </w:pPr>
      <w:r w:rsidRPr="008C5016">
        <w:rPr>
          <w:i/>
          <w:iCs/>
          <w:szCs w:val="24"/>
        </w:rPr>
        <w:t>Dr. Lorraine Prinsky</w:t>
      </w:r>
      <w:r w:rsidR="002D4BB8" w:rsidRPr="008C5016">
        <w:rPr>
          <w:i/>
          <w:iCs/>
          <w:szCs w:val="24"/>
        </w:rPr>
        <w:t xml:space="preserve">, </w:t>
      </w:r>
      <w:r w:rsidR="004B6605">
        <w:rPr>
          <w:i/>
          <w:iCs/>
          <w:szCs w:val="24"/>
        </w:rPr>
        <w:t>Vice President</w:t>
      </w:r>
    </w:p>
    <w:p w14:paraId="0F9D5D82" w14:textId="3639821D" w:rsidR="002D4BB8" w:rsidRPr="008C5016" w:rsidRDefault="002D4BB8" w:rsidP="002D4BB8">
      <w:pPr>
        <w:autoSpaceDE w:val="0"/>
        <w:autoSpaceDN w:val="0"/>
        <w:adjustRightInd w:val="0"/>
        <w:rPr>
          <w:i/>
          <w:iCs/>
          <w:szCs w:val="24"/>
        </w:rPr>
      </w:pPr>
      <w:r w:rsidRPr="008C5016">
        <w:rPr>
          <w:i/>
          <w:iCs/>
          <w:szCs w:val="24"/>
        </w:rPr>
        <w:t>Jim</w:t>
      </w:r>
      <w:r w:rsidR="004B6605">
        <w:rPr>
          <w:i/>
          <w:iCs/>
          <w:szCs w:val="24"/>
        </w:rPr>
        <w:t xml:space="preserve"> Moreno, Board Clerk</w:t>
      </w:r>
    </w:p>
    <w:p w14:paraId="206F9CDA" w14:textId="22CDF2F8" w:rsidR="004B6605" w:rsidRPr="008C5016" w:rsidRDefault="004B6605" w:rsidP="004B6605">
      <w:pPr>
        <w:autoSpaceDE w:val="0"/>
        <w:autoSpaceDN w:val="0"/>
        <w:adjustRightInd w:val="0"/>
        <w:rPr>
          <w:i/>
          <w:iCs/>
          <w:szCs w:val="24"/>
        </w:rPr>
      </w:pPr>
      <w:r>
        <w:rPr>
          <w:i/>
          <w:iCs/>
          <w:szCs w:val="24"/>
        </w:rPr>
        <w:t>David A. Grant, Trustee</w:t>
      </w:r>
    </w:p>
    <w:p w14:paraId="0F9D5D83" w14:textId="77777777" w:rsidR="00D3606B" w:rsidRPr="002927CF" w:rsidRDefault="003D508C" w:rsidP="002D4BB8">
      <w:pPr>
        <w:autoSpaceDE w:val="0"/>
        <w:autoSpaceDN w:val="0"/>
        <w:adjustRightInd w:val="0"/>
        <w:rPr>
          <w:i/>
          <w:iCs/>
          <w:szCs w:val="24"/>
        </w:rPr>
      </w:pPr>
      <w:r w:rsidRPr="002927CF">
        <w:rPr>
          <w:i/>
          <w:iCs/>
          <w:szCs w:val="24"/>
        </w:rPr>
        <w:t>Jerry Patterson</w:t>
      </w:r>
      <w:r w:rsidR="00D4505A" w:rsidRPr="002927CF">
        <w:rPr>
          <w:i/>
          <w:iCs/>
          <w:szCs w:val="24"/>
        </w:rPr>
        <w:t xml:space="preserve">, </w:t>
      </w:r>
      <w:r w:rsidR="002D4BB8" w:rsidRPr="002927CF">
        <w:rPr>
          <w:i/>
          <w:iCs/>
          <w:szCs w:val="24"/>
        </w:rPr>
        <w:t>Trustee</w:t>
      </w:r>
    </w:p>
    <w:p w14:paraId="0F9D5D84" w14:textId="1348309C" w:rsidR="00B52ABF" w:rsidRPr="002927CF" w:rsidRDefault="00252CB3" w:rsidP="00B52ABF">
      <w:pPr>
        <w:autoSpaceDE w:val="0"/>
        <w:autoSpaceDN w:val="0"/>
        <w:adjustRightInd w:val="0"/>
        <w:rPr>
          <w:i/>
          <w:iCs/>
          <w:szCs w:val="24"/>
        </w:rPr>
      </w:pPr>
      <w:r w:rsidRPr="002927CF">
        <w:rPr>
          <w:i/>
          <w:iCs/>
          <w:szCs w:val="24"/>
        </w:rPr>
        <w:t>Javier Venegas</w:t>
      </w:r>
      <w:r w:rsidR="00D4505A" w:rsidRPr="002927CF">
        <w:rPr>
          <w:i/>
          <w:iCs/>
          <w:szCs w:val="24"/>
        </w:rPr>
        <w:t>, Student Trustee</w:t>
      </w:r>
    </w:p>
    <w:p w14:paraId="0594738F" w14:textId="77777777" w:rsidR="007B2F86" w:rsidRPr="00B9364B" w:rsidRDefault="007B2F86" w:rsidP="00B52ABF">
      <w:pPr>
        <w:autoSpaceDE w:val="0"/>
        <w:autoSpaceDN w:val="0"/>
        <w:adjustRightInd w:val="0"/>
        <w:rPr>
          <w:i/>
          <w:iCs/>
          <w:color w:val="FF0000"/>
          <w:szCs w:val="24"/>
        </w:rPr>
      </w:pPr>
    </w:p>
    <w:p w14:paraId="2B21F46A" w14:textId="77777777" w:rsidR="007B2F86" w:rsidRPr="00B9364B" w:rsidRDefault="007B2F86" w:rsidP="00B52ABF">
      <w:pPr>
        <w:autoSpaceDE w:val="0"/>
        <w:autoSpaceDN w:val="0"/>
        <w:adjustRightInd w:val="0"/>
        <w:rPr>
          <w:i/>
          <w:iCs/>
          <w:color w:val="FF0000"/>
          <w:szCs w:val="24"/>
        </w:rPr>
      </w:pPr>
    </w:p>
    <w:p w14:paraId="0F9D5D85" w14:textId="77777777" w:rsidR="005B0BAC" w:rsidRPr="00B9364B" w:rsidRDefault="005171A9">
      <w:pPr>
        <w:rPr>
          <w:iCs/>
          <w:color w:val="FF0000"/>
          <w:szCs w:val="24"/>
        </w:rPr>
      </w:pPr>
      <w:r w:rsidRPr="00B9364B">
        <w:rPr>
          <w:iCs/>
          <w:color w:val="FF0000"/>
          <w:szCs w:val="24"/>
        </w:rPr>
        <w:br w:type="page"/>
      </w:r>
      <w:bookmarkStart w:id="1" w:name="_Toc340554668"/>
      <w:bookmarkStart w:id="2" w:name="_Toc341183205"/>
    </w:p>
    <w:sdt>
      <w:sdtPr>
        <w:rPr>
          <w:rFonts w:asciiTheme="minorHAnsi" w:eastAsiaTheme="minorHAnsi" w:hAnsiTheme="minorHAnsi" w:cstheme="minorBidi"/>
          <w:b w:val="0"/>
          <w:bCs w:val="0"/>
          <w:color w:val="FF0000"/>
          <w:sz w:val="22"/>
          <w:szCs w:val="22"/>
          <w:lang w:eastAsia="en-US"/>
        </w:rPr>
        <w:id w:val="2054418241"/>
        <w:docPartObj>
          <w:docPartGallery w:val="Table of Contents"/>
          <w:docPartUnique/>
        </w:docPartObj>
      </w:sdtPr>
      <w:sdtEndPr>
        <w:rPr>
          <w:noProof/>
        </w:rPr>
      </w:sdtEndPr>
      <w:sdtContent>
        <w:p w14:paraId="03769C85" w14:textId="18061AAD" w:rsidR="007768A8" w:rsidRPr="008C5016" w:rsidRDefault="007768A8">
          <w:pPr>
            <w:pStyle w:val="TOCHeading"/>
            <w:rPr>
              <w:color w:val="auto"/>
            </w:rPr>
          </w:pPr>
          <w:r w:rsidRPr="008C5016">
            <w:rPr>
              <w:color w:val="auto"/>
            </w:rPr>
            <w:t>Contents</w:t>
          </w:r>
        </w:p>
        <w:p w14:paraId="425214CB" w14:textId="77777777" w:rsidR="00BE78C6" w:rsidRDefault="007768A8">
          <w:pPr>
            <w:pStyle w:val="TOC1"/>
            <w:tabs>
              <w:tab w:val="right" w:leader="hyphen" w:pos="11136"/>
            </w:tabs>
            <w:rPr>
              <w:rFonts w:asciiTheme="minorHAnsi" w:eastAsiaTheme="minorEastAsia" w:hAnsiTheme="minorHAnsi"/>
              <w:b w:val="0"/>
              <w:bCs w:val="0"/>
              <w:caps w:val="0"/>
              <w:noProof/>
              <w:sz w:val="22"/>
              <w:szCs w:val="22"/>
            </w:rPr>
          </w:pPr>
          <w:r w:rsidRPr="00B9364B">
            <w:rPr>
              <w:b w:val="0"/>
              <w:bCs w:val="0"/>
              <w:caps w:val="0"/>
              <w:color w:val="FF0000"/>
            </w:rPr>
            <w:fldChar w:fldCharType="begin"/>
          </w:r>
          <w:r w:rsidRPr="00B9364B">
            <w:rPr>
              <w:b w:val="0"/>
              <w:bCs w:val="0"/>
              <w:caps w:val="0"/>
              <w:color w:val="FF0000"/>
            </w:rPr>
            <w:instrText xml:space="preserve"> TOC \o "1-3" \h \z \u </w:instrText>
          </w:r>
          <w:r w:rsidRPr="00B9364B">
            <w:rPr>
              <w:b w:val="0"/>
              <w:bCs w:val="0"/>
              <w:caps w:val="0"/>
              <w:color w:val="FF0000"/>
            </w:rPr>
            <w:fldChar w:fldCharType="separate"/>
          </w:r>
          <w:hyperlink w:anchor="_Toc506217387" w:history="1">
            <w:r w:rsidR="00BE78C6" w:rsidRPr="00A221D7">
              <w:rPr>
                <w:rStyle w:val="Hyperlink"/>
                <w:noProof/>
              </w:rPr>
              <w:t>FROM THE CHANCELLOR</w:t>
            </w:r>
            <w:r w:rsidR="00BE78C6">
              <w:rPr>
                <w:noProof/>
                <w:webHidden/>
              </w:rPr>
              <w:tab/>
            </w:r>
            <w:r w:rsidR="00BE78C6">
              <w:rPr>
                <w:noProof/>
                <w:webHidden/>
              </w:rPr>
              <w:fldChar w:fldCharType="begin"/>
            </w:r>
            <w:r w:rsidR="00BE78C6">
              <w:rPr>
                <w:noProof/>
                <w:webHidden/>
              </w:rPr>
              <w:instrText xml:space="preserve"> PAGEREF _Toc506217387 \h </w:instrText>
            </w:r>
            <w:r w:rsidR="00BE78C6">
              <w:rPr>
                <w:noProof/>
                <w:webHidden/>
              </w:rPr>
            </w:r>
            <w:r w:rsidR="00BE78C6">
              <w:rPr>
                <w:noProof/>
                <w:webHidden/>
              </w:rPr>
              <w:fldChar w:fldCharType="separate"/>
            </w:r>
            <w:r w:rsidR="00BE78C6">
              <w:rPr>
                <w:noProof/>
                <w:webHidden/>
              </w:rPr>
              <w:t>7</w:t>
            </w:r>
            <w:r w:rsidR="00BE78C6">
              <w:rPr>
                <w:noProof/>
                <w:webHidden/>
              </w:rPr>
              <w:fldChar w:fldCharType="end"/>
            </w:r>
          </w:hyperlink>
        </w:p>
        <w:p w14:paraId="61F482C4"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388" w:history="1">
            <w:r w:rsidR="00BE78C6" w:rsidRPr="00A221D7">
              <w:rPr>
                <w:rStyle w:val="Hyperlink"/>
                <w:noProof/>
              </w:rPr>
              <w:t>EXECUTIVE SUMMARY/REPORT HIGHLIGHTS</w:t>
            </w:r>
            <w:r w:rsidR="00BE78C6">
              <w:rPr>
                <w:noProof/>
                <w:webHidden/>
              </w:rPr>
              <w:tab/>
            </w:r>
            <w:r w:rsidR="00BE78C6">
              <w:rPr>
                <w:noProof/>
                <w:webHidden/>
              </w:rPr>
              <w:fldChar w:fldCharType="begin"/>
            </w:r>
            <w:r w:rsidR="00BE78C6">
              <w:rPr>
                <w:noProof/>
                <w:webHidden/>
              </w:rPr>
              <w:instrText xml:space="preserve"> PAGEREF _Toc506217388 \h </w:instrText>
            </w:r>
            <w:r w:rsidR="00BE78C6">
              <w:rPr>
                <w:noProof/>
                <w:webHidden/>
              </w:rPr>
            </w:r>
            <w:r w:rsidR="00BE78C6">
              <w:rPr>
                <w:noProof/>
                <w:webHidden/>
              </w:rPr>
              <w:fldChar w:fldCharType="separate"/>
            </w:r>
            <w:r w:rsidR="00BE78C6">
              <w:rPr>
                <w:noProof/>
                <w:webHidden/>
              </w:rPr>
              <w:t>8</w:t>
            </w:r>
            <w:r w:rsidR="00BE78C6">
              <w:rPr>
                <w:noProof/>
                <w:webHidden/>
              </w:rPr>
              <w:fldChar w:fldCharType="end"/>
            </w:r>
          </w:hyperlink>
        </w:p>
        <w:p w14:paraId="7C497CEE"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389" w:history="1">
            <w:r w:rsidR="00BE78C6" w:rsidRPr="00A221D7">
              <w:rPr>
                <w:rStyle w:val="Hyperlink"/>
                <w:rFonts w:eastAsia="Calibri"/>
                <w:noProof/>
              </w:rPr>
              <w:t>STUDENT OUTREACH AND RESPONSIVENESS TO THE COMMUNITY</w:t>
            </w:r>
            <w:r w:rsidR="00BE78C6">
              <w:rPr>
                <w:noProof/>
                <w:webHidden/>
              </w:rPr>
              <w:tab/>
            </w:r>
            <w:r w:rsidR="00BE78C6">
              <w:rPr>
                <w:noProof/>
                <w:webHidden/>
              </w:rPr>
              <w:fldChar w:fldCharType="begin"/>
            </w:r>
            <w:r w:rsidR="00BE78C6">
              <w:rPr>
                <w:noProof/>
                <w:webHidden/>
              </w:rPr>
              <w:instrText xml:space="preserve"> PAGEREF _Toc506217389 \h </w:instrText>
            </w:r>
            <w:r w:rsidR="00BE78C6">
              <w:rPr>
                <w:noProof/>
                <w:webHidden/>
              </w:rPr>
            </w:r>
            <w:r w:rsidR="00BE78C6">
              <w:rPr>
                <w:noProof/>
                <w:webHidden/>
              </w:rPr>
              <w:fldChar w:fldCharType="separate"/>
            </w:r>
            <w:r w:rsidR="00BE78C6">
              <w:rPr>
                <w:noProof/>
                <w:webHidden/>
              </w:rPr>
              <w:t>9</w:t>
            </w:r>
            <w:r w:rsidR="00BE78C6">
              <w:rPr>
                <w:noProof/>
                <w:webHidden/>
              </w:rPr>
              <w:fldChar w:fldCharType="end"/>
            </w:r>
          </w:hyperlink>
        </w:p>
        <w:p w14:paraId="2A4AAD99"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390" w:history="1">
            <w:r w:rsidR="00BE78C6" w:rsidRPr="00A221D7">
              <w:rPr>
                <w:rStyle w:val="Hyperlink"/>
                <w:rFonts w:eastAsia="Calibri"/>
                <w:noProof/>
              </w:rPr>
              <w:t>FACULTY, STAFF AND ADMINISTRATORS/MANAGERS</w:t>
            </w:r>
            <w:r w:rsidR="00BE78C6">
              <w:rPr>
                <w:noProof/>
                <w:webHidden/>
              </w:rPr>
              <w:tab/>
            </w:r>
            <w:r w:rsidR="00BE78C6">
              <w:rPr>
                <w:noProof/>
                <w:webHidden/>
              </w:rPr>
              <w:fldChar w:fldCharType="begin"/>
            </w:r>
            <w:r w:rsidR="00BE78C6">
              <w:rPr>
                <w:noProof/>
                <w:webHidden/>
              </w:rPr>
              <w:instrText xml:space="preserve"> PAGEREF _Toc506217390 \h </w:instrText>
            </w:r>
            <w:r w:rsidR="00BE78C6">
              <w:rPr>
                <w:noProof/>
                <w:webHidden/>
              </w:rPr>
            </w:r>
            <w:r w:rsidR="00BE78C6">
              <w:rPr>
                <w:noProof/>
                <w:webHidden/>
              </w:rPr>
              <w:fldChar w:fldCharType="separate"/>
            </w:r>
            <w:r w:rsidR="00BE78C6">
              <w:rPr>
                <w:noProof/>
                <w:webHidden/>
              </w:rPr>
              <w:t>9</w:t>
            </w:r>
            <w:r w:rsidR="00BE78C6">
              <w:rPr>
                <w:noProof/>
                <w:webHidden/>
              </w:rPr>
              <w:fldChar w:fldCharType="end"/>
            </w:r>
          </w:hyperlink>
        </w:p>
        <w:p w14:paraId="0DF2993B"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391" w:history="1">
            <w:r w:rsidR="00BE78C6" w:rsidRPr="00A221D7">
              <w:rPr>
                <w:rStyle w:val="Hyperlink"/>
                <w:noProof/>
              </w:rPr>
              <w:t>CHAPTER I: STUDENT LEARNING, ACHIEVEMENT AND DEVELOPMENT</w:t>
            </w:r>
            <w:r w:rsidR="00BE78C6">
              <w:rPr>
                <w:noProof/>
                <w:webHidden/>
              </w:rPr>
              <w:tab/>
            </w:r>
            <w:r w:rsidR="00BE78C6">
              <w:rPr>
                <w:noProof/>
                <w:webHidden/>
              </w:rPr>
              <w:fldChar w:fldCharType="begin"/>
            </w:r>
            <w:r w:rsidR="00BE78C6">
              <w:rPr>
                <w:noProof/>
                <w:webHidden/>
              </w:rPr>
              <w:instrText xml:space="preserve"> PAGEREF _Toc506217391 \h </w:instrText>
            </w:r>
            <w:r w:rsidR="00BE78C6">
              <w:rPr>
                <w:noProof/>
                <w:webHidden/>
              </w:rPr>
            </w:r>
            <w:r w:rsidR="00BE78C6">
              <w:rPr>
                <w:noProof/>
                <w:webHidden/>
              </w:rPr>
              <w:fldChar w:fldCharType="separate"/>
            </w:r>
            <w:r w:rsidR="00BE78C6">
              <w:rPr>
                <w:noProof/>
                <w:webHidden/>
              </w:rPr>
              <w:t>11</w:t>
            </w:r>
            <w:r w:rsidR="00BE78C6">
              <w:rPr>
                <w:noProof/>
                <w:webHidden/>
              </w:rPr>
              <w:fldChar w:fldCharType="end"/>
            </w:r>
          </w:hyperlink>
        </w:p>
        <w:p w14:paraId="2EED2D53" w14:textId="77777777" w:rsidR="00BE78C6" w:rsidRDefault="002A5133">
          <w:pPr>
            <w:pStyle w:val="TOC2"/>
            <w:tabs>
              <w:tab w:val="right" w:leader="hyphen" w:pos="11136"/>
            </w:tabs>
            <w:rPr>
              <w:rFonts w:eastAsiaTheme="minorEastAsia"/>
              <w:b w:val="0"/>
              <w:bCs w:val="0"/>
              <w:noProof/>
              <w:sz w:val="22"/>
              <w:szCs w:val="22"/>
            </w:rPr>
          </w:pPr>
          <w:hyperlink w:anchor="_Toc506217392" w:history="1">
            <w:r w:rsidR="00BE78C6" w:rsidRPr="00A221D7">
              <w:rPr>
                <w:rStyle w:val="Hyperlink"/>
                <w:noProof/>
              </w:rPr>
              <w:t>Student Success Scorecard</w:t>
            </w:r>
            <w:r w:rsidR="00BE78C6">
              <w:rPr>
                <w:noProof/>
                <w:webHidden/>
              </w:rPr>
              <w:tab/>
            </w:r>
            <w:r w:rsidR="00BE78C6">
              <w:rPr>
                <w:noProof/>
                <w:webHidden/>
              </w:rPr>
              <w:fldChar w:fldCharType="begin"/>
            </w:r>
            <w:r w:rsidR="00BE78C6">
              <w:rPr>
                <w:noProof/>
                <w:webHidden/>
              </w:rPr>
              <w:instrText xml:space="preserve"> PAGEREF _Toc506217392 \h </w:instrText>
            </w:r>
            <w:r w:rsidR="00BE78C6">
              <w:rPr>
                <w:noProof/>
                <w:webHidden/>
              </w:rPr>
            </w:r>
            <w:r w:rsidR="00BE78C6">
              <w:rPr>
                <w:noProof/>
                <w:webHidden/>
              </w:rPr>
              <w:fldChar w:fldCharType="separate"/>
            </w:r>
            <w:r w:rsidR="00BE78C6">
              <w:rPr>
                <w:noProof/>
                <w:webHidden/>
              </w:rPr>
              <w:t>11</w:t>
            </w:r>
            <w:r w:rsidR="00BE78C6">
              <w:rPr>
                <w:noProof/>
                <w:webHidden/>
              </w:rPr>
              <w:fldChar w:fldCharType="end"/>
            </w:r>
          </w:hyperlink>
        </w:p>
        <w:p w14:paraId="5BF0882A" w14:textId="77777777" w:rsidR="00BE78C6" w:rsidRDefault="002A5133">
          <w:pPr>
            <w:pStyle w:val="TOC2"/>
            <w:tabs>
              <w:tab w:val="right" w:leader="hyphen" w:pos="11136"/>
            </w:tabs>
            <w:rPr>
              <w:rFonts w:eastAsiaTheme="minorEastAsia"/>
              <w:b w:val="0"/>
              <w:bCs w:val="0"/>
              <w:noProof/>
              <w:sz w:val="22"/>
              <w:szCs w:val="22"/>
            </w:rPr>
          </w:pPr>
          <w:hyperlink w:anchor="_Toc506217393" w:history="1">
            <w:r w:rsidR="00BE78C6" w:rsidRPr="00A221D7">
              <w:rPr>
                <w:rStyle w:val="Hyperlink"/>
                <w:noProof/>
              </w:rPr>
              <w:t>Successful Course Completion Rates</w:t>
            </w:r>
            <w:r w:rsidR="00BE78C6">
              <w:rPr>
                <w:noProof/>
                <w:webHidden/>
              </w:rPr>
              <w:tab/>
            </w:r>
            <w:r w:rsidR="00BE78C6">
              <w:rPr>
                <w:noProof/>
                <w:webHidden/>
              </w:rPr>
              <w:fldChar w:fldCharType="begin"/>
            </w:r>
            <w:r w:rsidR="00BE78C6">
              <w:rPr>
                <w:noProof/>
                <w:webHidden/>
              </w:rPr>
              <w:instrText xml:space="preserve"> PAGEREF _Toc506217393 \h </w:instrText>
            </w:r>
            <w:r w:rsidR="00BE78C6">
              <w:rPr>
                <w:noProof/>
                <w:webHidden/>
              </w:rPr>
            </w:r>
            <w:r w:rsidR="00BE78C6">
              <w:rPr>
                <w:noProof/>
                <w:webHidden/>
              </w:rPr>
              <w:fldChar w:fldCharType="separate"/>
            </w:r>
            <w:r w:rsidR="00BE78C6">
              <w:rPr>
                <w:noProof/>
                <w:webHidden/>
              </w:rPr>
              <w:t>12</w:t>
            </w:r>
            <w:r w:rsidR="00BE78C6">
              <w:rPr>
                <w:noProof/>
                <w:webHidden/>
              </w:rPr>
              <w:fldChar w:fldCharType="end"/>
            </w:r>
          </w:hyperlink>
        </w:p>
        <w:p w14:paraId="35A4AA3F" w14:textId="77777777" w:rsidR="00BE78C6" w:rsidRDefault="002A5133">
          <w:pPr>
            <w:pStyle w:val="TOC3"/>
            <w:tabs>
              <w:tab w:val="right" w:leader="hyphen" w:pos="11136"/>
            </w:tabs>
            <w:rPr>
              <w:rFonts w:eastAsiaTheme="minorEastAsia"/>
              <w:noProof/>
              <w:sz w:val="22"/>
              <w:szCs w:val="22"/>
            </w:rPr>
          </w:pPr>
          <w:hyperlink w:anchor="_Toc506217394" w:history="1">
            <w:r w:rsidR="00BE78C6" w:rsidRPr="00A221D7">
              <w:rPr>
                <w:rStyle w:val="Hyperlink"/>
                <w:noProof/>
              </w:rPr>
              <w:t>College-wide Successful Course Completion Rates</w:t>
            </w:r>
            <w:r w:rsidR="00BE78C6">
              <w:rPr>
                <w:noProof/>
                <w:webHidden/>
              </w:rPr>
              <w:tab/>
            </w:r>
            <w:r w:rsidR="00BE78C6">
              <w:rPr>
                <w:noProof/>
                <w:webHidden/>
              </w:rPr>
              <w:fldChar w:fldCharType="begin"/>
            </w:r>
            <w:r w:rsidR="00BE78C6">
              <w:rPr>
                <w:noProof/>
                <w:webHidden/>
              </w:rPr>
              <w:instrText xml:space="preserve"> PAGEREF _Toc506217394 \h </w:instrText>
            </w:r>
            <w:r w:rsidR="00BE78C6">
              <w:rPr>
                <w:noProof/>
                <w:webHidden/>
              </w:rPr>
            </w:r>
            <w:r w:rsidR="00BE78C6">
              <w:rPr>
                <w:noProof/>
                <w:webHidden/>
              </w:rPr>
              <w:fldChar w:fldCharType="separate"/>
            </w:r>
            <w:r w:rsidR="00BE78C6">
              <w:rPr>
                <w:noProof/>
                <w:webHidden/>
              </w:rPr>
              <w:t>12</w:t>
            </w:r>
            <w:r w:rsidR="00BE78C6">
              <w:rPr>
                <w:noProof/>
                <w:webHidden/>
              </w:rPr>
              <w:fldChar w:fldCharType="end"/>
            </w:r>
          </w:hyperlink>
        </w:p>
        <w:p w14:paraId="0923F773" w14:textId="77777777" w:rsidR="00BE78C6" w:rsidRDefault="002A5133">
          <w:pPr>
            <w:pStyle w:val="TOC3"/>
            <w:tabs>
              <w:tab w:val="right" w:leader="hyphen" w:pos="11136"/>
            </w:tabs>
            <w:rPr>
              <w:rFonts w:eastAsiaTheme="minorEastAsia"/>
              <w:noProof/>
              <w:sz w:val="22"/>
              <w:szCs w:val="22"/>
            </w:rPr>
          </w:pPr>
          <w:hyperlink w:anchor="_Toc506217395" w:history="1">
            <w:r w:rsidR="00BE78C6" w:rsidRPr="00A221D7">
              <w:rPr>
                <w:rStyle w:val="Hyperlink"/>
                <w:noProof/>
              </w:rPr>
              <w:t>Successful Transfer Course Completion Rates</w:t>
            </w:r>
            <w:r w:rsidR="00BE78C6">
              <w:rPr>
                <w:noProof/>
                <w:webHidden/>
              </w:rPr>
              <w:tab/>
            </w:r>
            <w:r w:rsidR="00BE78C6">
              <w:rPr>
                <w:noProof/>
                <w:webHidden/>
              </w:rPr>
              <w:fldChar w:fldCharType="begin"/>
            </w:r>
            <w:r w:rsidR="00BE78C6">
              <w:rPr>
                <w:noProof/>
                <w:webHidden/>
              </w:rPr>
              <w:instrText xml:space="preserve"> PAGEREF _Toc506217395 \h </w:instrText>
            </w:r>
            <w:r w:rsidR="00BE78C6">
              <w:rPr>
                <w:noProof/>
                <w:webHidden/>
              </w:rPr>
            </w:r>
            <w:r w:rsidR="00BE78C6">
              <w:rPr>
                <w:noProof/>
                <w:webHidden/>
              </w:rPr>
              <w:fldChar w:fldCharType="separate"/>
            </w:r>
            <w:r w:rsidR="00BE78C6">
              <w:rPr>
                <w:noProof/>
                <w:webHidden/>
              </w:rPr>
              <w:t>12</w:t>
            </w:r>
            <w:r w:rsidR="00BE78C6">
              <w:rPr>
                <w:noProof/>
                <w:webHidden/>
              </w:rPr>
              <w:fldChar w:fldCharType="end"/>
            </w:r>
          </w:hyperlink>
        </w:p>
        <w:p w14:paraId="43D8B1F9" w14:textId="77777777" w:rsidR="00BE78C6" w:rsidRDefault="002A5133">
          <w:pPr>
            <w:pStyle w:val="TOC3"/>
            <w:tabs>
              <w:tab w:val="right" w:leader="hyphen" w:pos="11136"/>
            </w:tabs>
            <w:rPr>
              <w:rFonts w:eastAsiaTheme="minorEastAsia"/>
              <w:noProof/>
              <w:sz w:val="22"/>
              <w:szCs w:val="22"/>
            </w:rPr>
          </w:pPr>
          <w:hyperlink w:anchor="_Toc506217396" w:history="1">
            <w:r w:rsidR="00BE78C6" w:rsidRPr="00A221D7">
              <w:rPr>
                <w:rStyle w:val="Hyperlink"/>
                <w:noProof/>
              </w:rPr>
              <w:t>Successful Basic Skills Course Completion Rates</w:t>
            </w:r>
            <w:r w:rsidR="00BE78C6">
              <w:rPr>
                <w:noProof/>
                <w:webHidden/>
              </w:rPr>
              <w:tab/>
            </w:r>
            <w:r w:rsidR="00BE78C6">
              <w:rPr>
                <w:noProof/>
                <w:webHidden/>
              </w:rPr>
              <w:fldChar w:fldCharType="begin"/>
            </w:r>
            <w:r w:rsidR="00BE78C6">
              <w:rPr>
                <w:noProof/>
                <w:webHidden/>
              </w:rPr>
              <w:instrText xml:space="preserve"> PAGEREF _Toc506217396 \h </w:instrText>
            </w:r>
            <w:r w:rsidR="00BE78C6">
              <w:rPr>
                <w:noProof/>
                <w:webHidden/>
              </w:rPr>
            </w:r>
            <w:r w:rsidR="00BE78C6">
              <w:rPr>
                <w:noProof/>
                <w:webHidden/>
              </w:rPr>
              <w:fldChar w:fldCharType="separate"/>
            </w:r>
            <w:r w:rsidR="00BE78C6">
              <w:rPr>
                <w:noProof/>
                <w:webHidden/>
              </w:rPr>
              <w:t>13</w:t>
            </w:r>
            <w:r w:rsidR="00BE78C6">
              <w:rPr>
                <w:noProof/>
                <w:webHidden/>
              </w:rPr>
              <w:fldChar w:fldCharType="end"/>
            </w:r>
          </w:hyperlink>
        </w:p>
        <w:p w14:paraId="6B3063F6" w14:textId="77777777" w:rsidR="00BE78C6" w:rsidRDefault="002A5133">
          <w:pPr>
            <w:pStyle w:val="TOC3"/>
            <w:tabs>
              <w:tab w:val="right" w:leader="hyphen" w:pos="11136"/>
            </w:tabs>
            <w:rPr>
              <w:rFonts w:eastAsiaTheme="minorEastAsia"/>
              <w:noProof/>
              <w:sz w:val="22"/>
              <w:szCs w:val="22"/>
            </w:rPr>
          </w:pPr>
          <w:hyperlink w:anchor="_Toc506217397" w:history="1">
            <w:r w:rsidR="00BE78C6" w:rsidRPr="00A221D7">
              <w:rPr>
                <w:rStyle w:val="Hyperlink"/>
                <w:noProof/>
              </w:rPr>
              <w:t>Successful Career Technical Education (CTE) Course Completion Rates</w:t>
            </w:r>
            <w:r w:rsidR="00BE78C6">
              <w:rPr>
                <w:noProof/>
                <w:webHidden/>
              </w:rPr>
              <w:tab/>
            </w:r>
            <w:r w:rsidR="00BE78C6">
              <w:rPr>
                <w:noProof/>
                <w:webHidden/>
              </w:rPr>
              <w:fldChar w:fldCharType="begin"/>
            </w:r>
            <w:r w:rsidR="00BE78C6">
              <w:rPr>
                <w:noProof/>
                <w:webHidden/>
              </w:rPr>
              <w:instrText xml:space="preserve"> PAGEREF _Toc506217397 \h </w:instrText>
            </w:r>
            <w:r w:rsidR="00BE78C6">
              <w:rPr>
                <w:noProof/>
                <w:webHidden/>
              </w:rPr>
            </w:r>
            <w:r w:rsidR="00BE78C6">
              <w:rPr>
                <w:noProof/>
                <w:webHidden/>
              </w:rPr>
              <w:fldChar w:fldCharType="separate"/>
            </w:r>
            <w:r w:rsidR="00BE78C6">
              <w:rPr>
                <w:noProof/>
                <w:webHidden/>
              </w:rPr>
              <w:t>13</w:t>
            </w:r>
            <w:r w:rsidR="00BE78C6">
              <w:rPr>
                <w:noProof/>
                <w:webHidden/>
              </w:rPr>
              <w:fldChar w:fldCharType="end"/>
            </w:r>
          </w:hyperlink>
        </w:p>
        <w:p w14:paraId="3A77D1A6" w14:textId="77777777" w:rsidR="00BE78C6" w:rsidRDefault="002A5133">
          <w:pPr>
            <w:pStyle w:val="TOC2"/>
            <w:tabs>
              <w:tab w:val="right" w:leader="hyphen" w:pos="11136"/>
            </w:tabs>
            <w:rPr>
              <w:rFonts w:eastAsiaTheme="minorEastAsia"/>
              <w:b w:val="0"/>
              <w:bCs w:val="0"/>
              <w:noProof/>
              <w:sz w:val="22"/>
              <w:szCs w:val="22"/>
            </w:rPr>
          </w:pPr>
          <w:hyperlink w:anchor="_Toc506217398" w:history="1">
            <w:r w:rsidR="00BE78C6" w:rsidRPr="00A221D7">
              <w:rPr>
                <w:rStyle w:val="Hyperlink"/>
                <w:noProof/>
              </w:rPr>
              <w:t>Successful Course Completion Rates by Modality</w:t>
            </w:r>
            <w:r w:rsidR="00BE78C6">
              <w:rPr>
                <w:noProof/>
                <w:webHidden/>
              </w:rPr>
              <w:tab/>
            </w:r>
            <w:r w:rsidR="00BE78C6">
              <w:rPr>
                <w:noProof/>
                <w:webHidden/>
              </w:rPr>
              <w:fldChar w:fldCharType="begin"/>
            </w:r>
            <w:r w:rsidR="00BE78C6">
              <w:rPr>
                <w:noProof/>
                <w:webHidden/>
              </w:rPr>
              <w:instrText xml:space="preserve"> PAGEREF _Toc506217398 \h </w:instrText>
            </w:r>
            <w:r w:rsidR="00BE78C6">
              <w:rPr>
                <w:noProof/>
                <w:webHidden/>
              </w:rPr>
            </w:r>
            <w:r w:rsidR="00BE78C6">
              <w:rPr>
                <w:noProof/>
                <w:webHidden/>
              </w:rPr>
              <w:fldChar w:fldCharType="separate"/>
            </w:r>
            <w:r w:rsidR="00BE78C6">
              <w:rPr>
                <w:noProof/>
                <w:webHidden/>
              </w:rPr>
              <w:t>14</w:t>
            </w:r>
            <w:r w:rsidR="00BE78C6">
              <w:rPr>
                <w:noProof/>
                <w:webHidden/>
              </w:rPr>
              <w:fldChar w:fldCharType="end"/>
            </w:r>
          </w:hyperlink>
        </w:p>
        <w:p w14:paraId="21B29BC2" w14:textId="77777777" w:rsidR="00BE78C6" w:rsidRDefault="002A5133">
          <w:pPr>
            <w:pStyle w:val="TOC2"/>
            <w:tabs>
              <w:tab w:val="right" w:leader="hyphen" w:pos="11136"/>
            </w:tabs>
            <w:rPr>
              <w:rFonts w:eastAsiaTheme="minorEastAsia"/>
              <w:b w:val="0"/>
              <w:bCs w:val="0"/>
              <w:noProof/>
              <w:sz w:val="22"/>
              <w:szCs w:val="22"/>
            </w:rPr>
          </w:pPr>
          <w:hyperlink w:anchor="_Toc506217399" w:history="1">
            <w:r w:rsidR="00BE78C6" w:rsidRPr="00A221D7">
              <w:rPr>
                <w:rStyle w:val="Hyperlink"/>
                <w:noProof/>
              </w:rPr>
              <w:t>Students on Probation/Disqualification</w:t>
            </w:r>
            <w:r w:rsidR="00BE78C6">
              <w:rPr>
                <w:noProof/>
                <w:webHidden/>
              </w:rPr>
              <w:tab/>
            </w:r>
            <w:r w:rsidR="00BE78C6">
              <w:rPr>
                <w:noProof/>
                <w:webHidden/>
              </w:rPr>
              <w:fldChar w:fldCharType="begin"/>
            </w:r>
            <w:r w:rsidR="00BE78C6">
              <w:rPr>
                <w:noProof/>
                <w:webHidden/>
              </w:rPr>
              <w:instrText xml:space="preserve"> PAGEREF _Toc506217399 \h </w:instrText>
            </w:r>
            <w:r w:rsidR="00BE78C6">
              <w:rPr>
                <w:noProof/>
                <w:webHidden/>
              </w:rPr>
            </w:r>
            <w:r w:rsidR="00BE78C6">
              <w:rPr>
                <w:noProof/>
                <w:webHidden/>
              </w:rPr>
              <w:fldChar w:fldCharType="separate"/>
            </w:r>
            <w:r w:rsidR="00BE78C6">
              <w:rPr>
                <w:noProof/>
                <w:webHidden/>
              </w:rPr>
              <w:t>15</w:t>
            </w:r>
            <w:r w:rsidR="00BE78C6">
              <w:rPr>
                <w:noProof/>
                <w:webHidden/>
              </w:rPr>
              <w:fldChar w:fldCharType="end"/>
            </w:r>
          </w:hyperlink>
        </w:p>
        <w:p w14:paraId="5C0E1BC5" w14:textId="77777777" w:rsidR="00BE78C6" w:rsidRDefault="002A5133">
          <w:pPr>
            <w:pStyle w:val="TOC2"/>
            <w:tabs>
              <w:tab w:val="right" w:leader="hyphen" w:pos="11136"/>
            </w:tabs>
            <w:rPr>
              <w:rFonts w:eastAsiaTheme="minorEastAsia"/>
              <w:b w:val="0"/>
              <w:bCs w:val="0"/>
              <w:noProof/>
              <w:sz w:val="22"/>
              <w:szCs w:val="22"/>
            </w:rPr>
          </w:pPr>
          <w:hyperlink w:anchor="_Toc506217400" w:history="1">
            <w:r w:rsidR="00BE78C6" w:rsidRPr="00A221D7">
              <w:rPr>
                <w:rStyle w:val="Hyperlink"/>
                <w:noProof/>
              </w:rPr>
              <w:t>Progression through and Completion of the Basic Skills Course Sequence (English, Math and ESL)</w:t>
            </w:r>
            <w:r w:rsidR="00BE78C6">
              <w:rPr>
                <w:noProof/>
                <w:webHidden/>
              </w:rPr>
              <w:tab/>
            </w:r>
            <w:r w:rsidR="00BE78C6">
              <w:rPr>
                <w:noProof/>
                <w:webHidden/>
              </w:rPr>
              <w:fldChar w:fldCharType="begin"/>
            </w:r>
            <w:r w:rsidR="00BE78C6">
              <w:rPr>
                <w:noProof/>
                <w:webHidden/>
              </w:rPr>
              <w:instrText xml:space="preserve"> PAGEREF _Toc506217400 \h </w:instrText>
            </w:r>
            <w:r w:rsidR="00BE78C6">
              <w:rPr>
                <w:noProof/>
                <w:webHidden/>
              </w:rPr>
            </w:r>
            <w:r w:rsidR="00BE78C6">
              <w:rPr>
                <w:noProof/>
                <w:webHidden/>
              </w:rPr>
              <w:fldChar w:fldCharType="separate"/>
            </w:r>
            <w:r w:rsidR="00BE78C6">
              <w:rPr>
                <w:noProof/>
                <w:webHidden/>
              </w:rPr>
              <w:t>16</w:t>
            </w:r>
            <w:r w:rsidR="00BE78C6">
              <w:rPr>
                <w:noProof/>
                <w:webHidden/>
              </w:rPr>
              <w:fldChar w:fldCharType="end"/>
            </w:r>
          </w:hyperlink>
        </w:p>
        <w:p w14:paraId="244C3A8C" w14:textId="77777777" w:rsidR="00BE78C6" w:rsidRDefault="002A5133">
          <w:pPr>
            <w:pStyle w:val="TOC2"/>
            <w:tabs>
              <w:tab w:val="right" w:leader="hyphen" w:pos="11136"/>
            </w:tabs>
            <w:rPr>
              <w:rFonts w:eastAsiaTheme="minorEastAsia"/>
              <w:b w:val="0"/>
              <w:bCs w:val="0"/>
              <w:noProof/>
              <w:sz w:val="22"/>
              <w:szCs w:val="22"/>
            </w:rPr>
          </w:pPr>
          <w:hyperlink w:anchor="_Toc506217401" w:history="1">
            <w:r w:rsidR="00BE78C6" w:rsidRPr="00A221D7">
              <w:rPr>
                <w:rStyle w:val="Hyperlink"/>
                <w:noProof/>
              </w:rPr>
              <w:t>English Progression</w:t>
            </w:r>
            <w:r w:rsidR="00BE78C6">
              <w:rPr>
                <w:noProof/>
                <w:webHidden/>
              </w:rPr>
              <w:tab/>
            </w:r>
            <w:r w:rsidR="00BE78C6">
              <w:rPr>
                <w:noProof/>
                <w:webHidden/>
              </w:rPr>
              <w:fldChar w:fldCharType="begin"/>
            </w:r>
            <w:r w:rsidR="00BE78C6">
              <w:rPr>
                <w:noProof/>
                <w:webHidden/>
              </w:rPr>
              <w:instrText xml:space="preserve"> PAGEREF _Toc506217401 \h </w:instrText>
            </w:r>
            <w:r w:rsidR="00BE78C6">
              <w:rPr>
                <w:noProof/>
                <w:webHidden/>
              </w:rPr>
            </w:r>
            <w:r w:rsidR="00BE78C6">
              <w:rPr>
                <w:noProof/>
                <w:webHidden/>
              </w:rPr>
              <w:fldChar w:fldCharType="separate"/>
            </w:r>
            <w:r w:rsidR="00BE78C6">
              <w:rPr>
                <w:noProof/>
                <w:webHidden/>
              </w:rPr>
              <w:t>16</w:t>
            </w:r>
            <w:r w:rsidR="00BE78C6">
              <w:rPr>
                <w:noProof/>
                <w:webHidden/>
              </w:rPr>
              <w:fldChar w:fldCharType="end"/>
            </w:r>
          </w:hyperlink>
        </w:p>
        <w:p w14:paraId="1B6EC881" w14:textId="77777777" w:rsidR="00BE78C6" w:rsidRDefault="002A5133">
          <w:pPr>
            <w:pStyle w:val="TOC2"/>
            <w:tabs>
              <w:tab w:val="right" w:leader="hyphen" w:pos="11136"/>
            </w:tabs>
            <w:rPr>
              <w:rFonts w:eastAsiaTheme="minorEastAsia"/>
              <w:b w:val="0"/>
              <w:bCs w:val="0"/>
              <w:noProof/>
              <w:sz w:val="22"/>
              <w:szCs w:val="22"/>
            </w:rPr>
          </w:pPr>
          <w:hyperlink w:anchor="_Toc506217402" w:history="1">
            <w:r w:rsidR="00BE78C6" w:rsidRPr="00A221D7">
              <w:rPr>
                <w:rStyle w:val="Hyperlink"/>
                <w:noProof/>
              </w:rPr>
              <w:t>Math Progression</w:t>
            </w:r>
            <w:r w:rsidR="00BE78C6">
              <w:rPr>
                <w:noProof/>
                <w:webHidden/>
              </w:rPr>
              <w:tab/>
            </w:r>
            <w:r w:rsidR="00BE78C6">
              <w:rPr>
                <w:noProof/>
                <w:webHidden/>
              </w:rPr>
              <w:fldChar w:fldCharType="begin"/>
            </w:r>
            <w:r w:rsidR="00BE78C6">
              <w:rPr>
                <w:noProof/>
                <w:webHidden/>
              </w:rPr>
              <w:instrText xml:space="preserve"> PAGEREF _Toc506217402 \h </w:instrText>
            </w:r>
            <w:r w:rsidR="00BE78C6">
              <w:rPr>
                <w:noProof/>
                <w:webHidden/>
              </w:rPr>
            </w:r>
            <w:r w:rsidR="00BE78C6">
              <w:rPr>
                <w:noProof/>
                <w:webHidden/>
              </w:rPr>
              <w:fldChar w:fldCharType="separate"/>
            </w:r>
            <w:r w:rsidR="00BE78C6">
              <w:rPr>
                <w:noProof/>
                <w:webHidden/>
              </w:rPr>
              <w:t>19</w:t>
            </w:r>
            <w:r w:rsidR="00BE78C6">
              <w:rPr>
                <w:noProof/>
                <w:webHidden/>
              </w:rPr>
              <w:fldChar w:fldCharType="end"/>
            </w:r>
          </w:hyperlink>
        </w:p>
        <w:p w14:paraId="040EC6D2" w14:textId="77777777" w:rsidR="00BE78C6" w:rsidRDefault="002A5133">
          <w:pPr>
            <w:pStyle w:val="TOC2"/>
            <w:tabs>
              <w:tab w:val="right" w:leader="hyphen" w:pos="11136"/>
            </w:tabs>
            <w:rPr>
              <w:rFonts w:eastAsiaTheme="minorEastAsia"/>
              <w:b w:val="0"/>
              <w:bCs w:val="0"/>
              <w:noProof/>
              <w:sz w:val="22"/>
              <w:szCs w:val="22"/>
            </w:rPr>
          </w:pPr>
          <w:hyperlink w:anchor="_Toc506217403" w:history="1">
            <w:r w:rsidR="00BE78C6" w:rsidRPr="00A221D7">
              <w:rPr>
                <w:rStyle w:val="Hyperlink"/>
                <w:noProof/>
              </w:rPr>
              <w:t>ESL Progression</w:t>
            </w:r>
            <w:r w:rsidR="00BE78C6">
              <w:rPr>
                <w:noProof/>
                <w:webHidden/>
              </w:rPr>
              <w:tab/>
            </w:r>
            <w:r w:rsidR="00BE78C6">
              <w:rPr>
                <w:noProof/>
                <w:webHidden/>
              </w:rPr>
              <w:fldChar w:fldCharType="begin"/>
            </w:r>
            <w:r w:rsidR="00BE78C6">
              <w:rPr>
                <w:noProof/>
                <w:webHidden/>
              </w:rPr>
              <w:instrText xml:space="preserve"> PAGEREF _Toc506217403 \h </w:instrText>
            </w:r>
            <w:r w:rsidR="00BE78C6">
              <w:rPr>
                <w:noProof/>
                <w:webHidden/>
              </w:rPr>
            </w:r>
            <w:r w:rsidR="00BE78C6">
              <w:rPr>
                <w:noProof/>
                <w:webHidden/>
              </w:rPr>
              <w:fldChar w:fldCharType="separate"/>
            </w:r>
            <w:r w:rsidR="00BE78C6">
              <w:rPr>
                <w:noProof/>
                <w:webHidden/>
              </w:rPr>
              <w:t>22</w:t>
            </w:r>
            <w:r w:rsidR="00BE78C6">
              <w:rPr>
                <w:noProof/>
                <w:webHidden/>
              </w:rPr>
              <w:fldChar w:fldCharType="end"/>
            </w:r>
          </w:hyperlink>
        </w:p>
        <w:p w14:paraId="45EE247B" w14:textId="77777777" w:rsidR="00BE78C6" w:rsidRDefault="002A5133">
          <w:pPr>
            <w:pStyle w:val="TOC2"/>
            <w:tabs>
              <w:tab w:val="right" w:leader="hyphen" w:pos="11136"/>
            </w:tabs>
            <w:rPr>
              <w:rFonts w:eastAsiaTheme="minorEastAsia"/>
              <w:b w:val="0"/>
              <w:bCs w:val="0"/>
              <w:noProof/>
              <w:sz w:val="22"/>
              <w:szCs w:val="22"/>
            </w:rPr>
          </w:pPr>
          <w:hyperlink w:anchor="_Toc506217404" w:history="1">
            <w:r w:rsidR="00BE78C6" w:rsidRPr="00A221D7">
              <w:rPr>
                <w:rStyle w:val="Hyperlink"/>
                <w:noProof/>
              </w:rPr>
              <w:t>Semester and Cumulative GPA of Full-Time Students</w:t>
            </w:r>
            <w:r w:rsidR="00BE78C6">
              <w:rPr>
                <w:noProof/>
                <w:webHidden/>
              </w:rPr>
              <w:tab/>
            </w:r>
            <w:r w:rsidR="00BE78C6">
              <w:rPr>
                <w:noProof/>
                <w:webHidden/>
              </w:rPr>
              <w:fldChar w:fldCharType="begin"/>
            </w:r>
            <w:r w:rsidR="00BE78C6">
              <w:rPr>
                <w:noProof/>
                <w:webHidden/>
              </w:rPr>
              <w:instrText xml:space="preserve"> PAGEREF _Toc506217404 \h </w:instrText>
            </w:r>
            <w:r w:rsidR="00BE78C6">
              <w:rPr>
                <w:noProof/>
                <w:webHidden/>
              </w:rPr>
            </w:r>
            <w:r w:rsidR="00BE78C6">
              <w:rPr>
                <w:noProof/>
                <w:webHidden/>
              </w:rPr>
              <w:fldChar w:fldCharType="separate"/>
            </w:r>
            <w:r w:rsidR="00BE78C6">
              <w:rPr>
                <w:noProof/>
                <w:webHidden/>
              </w:rPr>
              <w:t>24</w:t>
            </w:r>
            <w:r w:rsidR="00BE78C6">
              <w:rPr>
                <w:noProof/>
                <w:webHidden/>
              </w:rPr>
              <w:fldChar w:fldCharType="end"/>
            </w:r>
          </w:hyperlink>
        </w:p>
        <w:p w14:paraId="5BFA5361" w14:textId="77777777" w:rsidR="00BE78C6" w:rsidRDefault="002A5133">
          <w:pPr>
            <w:pStyle w:val="TOC2"/>
            <w:tabs>
              <w:tab w:val="right" w:leader="hyphen" w:pos="11136"/>
            </w:tabs>
            <w:rPr>
              <w:rFonts w:eastAsiaTheme="minorEastAsia"/>
              <w:b w:val="0"/>
              <w:bCs w:val="0"/>
              <w:noProof/>
              <w:sz w:val="22"/>
              <w:szCs w:val="22"/>
            </w:rPr>
          </w:pPr>
          <w:hyperlink w:anchor="_Toc506217405" w:history="1">
            <w:r w:rsidR="00BE78C6" w:rsidRPr="00A221D7">
              <w:rPr>
                <w:rStyle w:val="Hyperlink"/>
                <w:noProof/>
              </w:rPr>
              <w:t>Fall to Spring Persistence Rates of First-Time, Full-Time Students</w:t>
            </w:r>
            <w:r w:rsidR="00BE78C6">
              <w:rPr>
                <w:noProof/>
                <w:webHidden/>
              </w:rPr>
              <w:tab/>
            </w:r>
            <w:r w:rsidR="00BE78C6">
              <w:rPr>
                <w:noProof/>
                <w:webHidden/>
              </w:rPr>
              <w:fldChar w:fldCharType="begin"/>
            </w:r>
            <w:r w:rsidR="00BE78C6">
              <w:rPr>
                <w:noProof/>
                <w:webHidden/>
              </w:rPr>
              <w:instrText xml:space="preserve"> PAGEREF _Toc506217405 \h </w:instrText>
            </w:r>
            <w:r w:rsidR="00BE78C6">
              <w:rPr>
                <w:noProof/>
                <w:webHidden/>
              </w:rPr>
            </w:r>
            <w:r w:rsidR="00BE78C6">
              <w:rPr>
                <w:noProof/>
                <w:webHidden/>
              </w:rPr>
              <w:fldChar w:fldCharType="separate"/>
            </w:r>
            <w:r w:rsidR="00BE78C6">
              <w:rPr>
                <w:noProof/>
                <w:webHidden/>
              </w:rPr>
              <w:t>25</w:t>
            </w:r>
            <w:r w:rsidR="00BE78C6">
              <w:rPr>
                <w:noProof/>
                <w:webHidden/>
              </w:rPr>
              <w:fldChar w:fldCharType="end"/>
            </w:r>
          </w:hyperlink>
        </w:p>
        <w:p w14:paraId="2D5DA221" w14:textId="77777777" w:rsidR="00BE78C6" w:rsidRDefault="002A5133">
          <w:pPr>
            <w:pStyle w:val="TOC2"/>
            <w:tabs>
              <w:tab w:val="right" w:leader="hyphen" w:pos="11136"/>
            </w:tabs>
            <w:rPr>
              <w:rFonts w:eastAsiaTheme="minorEastAsia"/>
              <w:b w:val="0"/>
              <w:bCs w:val="0"/>
              <w:noProof/>
              <w:sz w:val="22"/>
              <w:szCs w:val="22"/>
            </w:rPr>
          </w:pPr>
          <w:hyperlink w:anchor="_Toc506217406" w:history="1">
            <w:r w:rsidR="00BE78C6" w:rsidRPr="00A221D7">
              <w:rPr>
                <w:rStyle w:val="Hyperlink"/>
                <w:noProof/>
              </w:rPr>
              <w:t>Degrees and Certificates Awarded</w:t>
            </w:r>
            <w:r w:rsidR="00BE78C6">
              <w:rPr>
                <w:noProof/>
                <w:webHidden/>
              </w:rPr>
              <w:tab/>
            </w:r>
            <w:r w:rsidR="00BE78C6">
              <w:rPr>
                <w:noProof/>
                <w:webHidden/>
              </w:rPr>
              <w:fldChar w:fldCharType="begin"/>
            </w:r>
            <w:r w:rsidR="00BE78C6">
              <w:rPr>
                <w:noProof/>
                <w:webHidden/>
              </w:rPr>
              <w:instrText xml:space="preserve"> PAGEREF _Toc506217406 \h </w:instrText>
            </w:r>
            <w:r w:rsidR="00BE78C6">
              <w:rPr>
                <w:noProof/>
                <w:webHidden/>
              </w:rPr>
            </w:r>
            <w:r w:rsidR="00BE78C6">
              <w:rPr>
                <w:noProof/>
                <w:webHidden/>
              </w:rPr>
              <w:fldChar w:fldCharType="separate"/>
            </w:r>
            <w:r w:rsidR="00BE78C6">
              <w:rPr>
                <w:noProof/>
                <w:webHidden/>
              </w:rPr>
              <w:t>25</w:t>
            </w:r>
            <w:r w:rsidR="00BE78C6">
              <w:rPr>
                <w:noProof/>
                <w:webHidden/>
              </w:rPr>
              <w:fldChar w:fldCharType="end"/>
            </w:r>
          </w:hyperlink>
        </w:p>
        <w:p w14:paraId="7C21A96C" w14:textId="77777777" w:rsidR="00BE78C6" w:rsidRDefault="002A5133">
          <w:pPr>
            <w:pStyle w:val="TOC2"/>
            <w:tabs>
              <w:tab w:val="right" w:leader="hyphen" w:pos="11136"/>
            </w:tabs>
            <w:rPr>
              <w:rFonts w:eastAsiaTheme="minorEastAsia"/>
              <w:b w:val="0"/>
              <w:bCs w:val="0"/>
              <w:noProof/>
              <w:sz w:val="22"/>
              <w:szCs w:val="22"/>
            </w:rPr>
          </w:pPr>
          <w:hyperlink w:anchor="_Toc506217407" w:history="1">
            <w:r w:rsidR="00BE78C6" w:rsidRPr="00A221D7">
              <w:rPr>
                <w:rStyle w:val="Hyperlink"/>
                <w:noProof/>
              </w:rPr>
              <w:t>Annual Transfers to UC and CSU</w:t>
            </w:r>
            <w:r w:rsidR="00BE78C6">
              <w:rPr>
                <w:noProof/>
                <w:webHidden/>
              </w:rPr>
              <w:tab/>
            </w:r>
            <w:r w:rsidR="00BE78C6">
              <w:rPr>
                <w:noProof/>
                <w:webHidden/>
              </w:rPr>
              <w:fldChar w:fldCharType="begin"/>
            </w:r>
            <w:r w:rsidR="00BE78C6">
              <w:rPr>
                <w:noProof/>
                <w:webHidden/>
              </w:rPr>
              <w:instrText xml:space="preserve"> PAGEREF _Toc506217407 \h </w:instrText>
            </w:r>
            <w:r w:rsidR="00BE78C6">
              <w:rPr>
                <w:noProof/>
                <w:webHidden/>
              </w:rPr>
            </w:r>
            <w:r w:rsidR="00BE78C6">
              <w:rPr>
                <w:noProof/>
                <w:webHidden/>
              </w:rPr>
              <w:fldChar w:fldCharType="separate"/>
            </w:r>
            <w:r w:rsidR="00BE78C6">
              <w:rPr>
                <w:noProof/>
                <w:webHidden/>
              </w:rPr>
              <w:t>26</w:t>
            </w:r>
            <w:r w:rsidR="00BE78C6">
              <w:rPr>
                <w:noProof/>
                <w:webHidden/>
              </w:rPr>
              <w:fldChar w:fldCharType="end"/>
            </w:r>
          </w:hyperlink>
        </w:p>
        <w:p w14:paraId="326D817B" w14:textId="77777777" w:rsidR="00BE78C6" w:rsidRDefault="002A5133">
          <w:pPr>
            <w:pStyle w:val="TOC2"/>
            <w:tabs>
              <w:tab w:val="right" w:leader="hyphen" w:pos="11136"/>
            </w:tabs>
            <w:rPr>
              <w:rFonts w:eastAsiaTheme="minorEastAsia"/>
              <w:b w:val="0"/>
              <w:bCs w:val="0"/>
              <w:noProof/>
              <w:sz w:val="22"/>
              <w:szCs w:val="22"/>
            </w:rPr>
          </w:pPr>
          <w:hyperlink w:anchor="_Toc506217408" w:history="1">
            <w:r w:rsidR="00BE78C6" w:rsidRPr="00A221D7">
              <w:rPr>
                <w:rStyle w:val="Hyperlink"/>
                <w:noProof/>
              </w:rPr>
              <w:t>Transfers to In-state Private and Out-of-State Four-year Institutions</w:t>
            </w:r>
            <w:r w:rsidR="00BE78C6">
              <w:rPr>
                <w:noProof/>
                <w:webHidden/>
              </w:rPr>
              <w:tab/>
            </w:r>
            <w:r w:rsidR="00BE78C6">
              <w:rPr>
                <w:noProof/>
                <w:webHidden/>
              </w:rPr>
              <w:fldChar w:fldCharType="begin"/>
            </w:r>
            <w:r w:rsidR="00BE78C6">
              <w:rPr>
                <w:noProof/>
                <w:webHidden/>
              </w:rPr>
              <w:instrText xml:space="preserve"> PAGEREF _Toc506217408 \h </w:instrText>
            </w:r>
            <w:r w:rsidR="00BE78C6">
              <w:rPr>
                <w:noProof/>
                <w:webHidden/>
              </w:rPr>
            </w:r>
            <w:r w:rsidR="00BE78C6">
              <w:rPr>
                <w:noProof/>
                <w:webHidden/>
              </w:rPr>
              <w:fldChar w:fldCharType="separate"/>
            </w:r>
            <w:r w:rsidR="00BE78C6">
              <w:rPr>
                <w:noProof/>
                <w:webHidden/>
              </w:rPr>
              <w:t>27</w:t>
            </w:r>
            <w:r w:rsidR="00BE78C6">
              <w:rPr>
                <w:noProof/>
                <w:webHidden/>
              </w:rPr>
              <w:fldChar w:fldCharType="end"/>
            </w:r>
          </w:hyperlink>
        </w:p>
        <w:p w14:paraId="2E0D1F3B" w14:textId="77777777" w:rsidR="00BE78C6" w:rsidRDefault="002A5133">
          <w:pPr>
            <w:pStyle w:val="TOC2"/>
            <w:tabs>
              <w:tab w:val="right" w:leader="hyphen" w:pos="11136"/>
            </w:tabs>
            <w:rPr>
              <w:rFonts w:eastAsiaTheme="minorEastAsia"/>
              <w:b w:val="0"/>
              <w:bCs w:val="0"/>
              <w:noProof/>
              <w:sz w:val="22"/>
              <w:szCs w:val="22"/>
            </w:rPr>
          </w:pPr>
          <w:hyperlink w:anchor="_Toc506217409" w:history="1">
            <w:r w:rsidR="00BE78C6" w:rsidRPr="00A221D7">
              <w:rPr>
                <w:rStyle w:val="Hyperlink"/>
                <w:noProof/>
              </w:rPr>
              <w:t>Student Right-to-Know (SRTK) Act Completion and Transfer Rates</w:t>
            </w:r>
            <w:r w:rsidR="00BE78C6">
              <w:rPr>
                <w:noProof/>
                <w:webHidden/>
              </w:rPr>
              <w:tab/>
            </w:r>
            <w:r w:rsidR="00BE78C6">
              <w:rPr>
                <w:noProof/>
                <w:webHidden/>
              </w:rPr>
              <w:fldChar w:fldCharType="begin"/>
            </w:r>
            <w:r w:rsidR="00BE78C6">
              <w:rPr>
                <w:noProof/>
                <w:webHidden/>
              </w:rPr>
              <w:instrText xml:space="preserve"> PAGEREF _Toc506217409 \h </w:instrText>
            </w:r>
            <w:r w:rsidR="00BE78C6">
              <w:rPr>
                <w:noProof/>
                <w:webHidden/>
              </w:rPr>
            </w:r>
            <w:r w:rsidR="00BE78C6">
              <w:rPr>
                <w:noProof/>
                <w:webHidden/>
              </w:rPr>
              <w:fldChar w:fldCharType="separate"/>
            </w:r>
            <w:r w:rsidR="00BE78C6">
              <w:rPr>
                <w:noProof/>
                <w:webHidden/>
              </w:rPr>
              <w:t>28</w:t>
            </w:r>
            <w:r w:rsidR="00BE78C6">
              <w:rPr>
                <w:noProof/>
                <w:webHidden/>
              </w:rPr>
              <w:fldChar w:fldCharType="end"/>
            </w:r>
          </w:hyperlink>
        </w:p>
        <w:p w14:paraId="4873E237" w14:textId="77777777" w:rsidR="00BE78C6" w:rsidRDefault="002A5133">
          <w:pPr>
            <w:pStyle w:val="TOC2"/>
            <w:tabs>
              <w:tab w:val="right" w:leader="hyphen" w:pos="11136"/>
            </w:tabs>
            <w:rPr>
              <w:rFonts w:eastAsiaTheme="minorEastAsia"/>
              <w:b w:val="0"/>
              <w:bCs w:val="0"/>
              <w:noProof/>
              <w:sz w:val="22"/>
              <w:szCs w:val="22"/>
            </w:rPr>
          </w:pPr>
          <w:hyperlink w:anchor="_Toc506217410" w:history="1">
            <w:r w:rsidR="00BE78C6" w:rsidRPr="00A221D7">
              <w:rPr>
                <w:rStyle w:val="Hyperlink"/>
                <w:noProof/>
              </w:rPr>
              <w:t>Actions in the Area of Student Learning, Achievement and Development</w:t>
            </w:r>
            <w:r w:rsidR="00BE78C6">
              <w:rPr>
                <w:noProof/>
                <w:webHidden/>
              </w:rPr>
              <w:tab/>
            </w:r>
            <w:r w:rsidR="00BE78C6">
              <w:rPr>
                <w:noProof/>
                <w:webHidden/>
              </w:rPr>
              <w:fldChar w:fldCharType="begin"/>
            </w:r>
            <w:r w:rsidR="00BE78C6">
              <w:rPr>
                <w:noProof/>
                <w:webHidden/>
              </w:rPr>
              <w:instrText xml:space="preserve"> PAGEREF _Toc506217410 \h </w:instrText>
            </w:r>
            <w:r w:rsidR="00BE78C6">
              <w:rPr>
                <w:noProof/>
                <w:webHidden/>
              </w:rPr>
            </w:r>
            <w:r w:rsidR="00BE78C6">
              <w:rPr>
                <w:noProof/>
                <w:webHidden/>
              </w:rPr>
              <w:fldChar w:fldCharType="separate"/>
            </w:r>
            <w:r w:rsidR="00BE78C6">
              <w:rPr>
                <w:noProof/>
                <w:webHidden/>
              </w:rPr>
              <w:t>29</w:t>
            </w:r>
            <w:r w:rsidR="00BE78C6">
              <w:rPr>
                <w:noProof/>
                <w:webHidden/>
              </w:rPr>
              <w:fldChar w:fldCharType="end"/>
            </w:r>
          </w:hyperlink>
        </w:p>
        <w:p w14:paraId="20BA3245"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411" w:history="1">
            <w:r w:rsidR="00BE78C6" w:rsidRPr="00A221D7">
              <w:rPr>
                <w:rStyle w:val="Hyperlink"/>
                <w:rFonts w:eastAsia="Calibri"/>
                <w:noProof/>
              </w:rPr>
              <w:t>District-wide</w:t>
            </w:r>
            <w:r w:rsidR="00BE78C6">
              <w:rPr>
                <w:noProof/>
                <w:webHidden/>
              </w:rPr>
              <w:tab/>
            </w:r>
            <w:r w:rsidR="00BE78C6">
              <w:rPr>
                <w:noProof/>
                <w:webHidden/>
              </w:rPr>
              <w:fldChar w:fldCharType="begin"/>
            </w:r>
            <w:r w:rsidR="00BE78C6">
              <w:rPr>
                <w:noProof/>
                <w:webHidden/>
              </w:rPr>
              <w:instrText xml:space="preserve"> PAGEREF _Toc506217411 \h </w:instrText>
            </w:r>
            <w:r w:rsidR="00BE78C6">
              <w:rPr>
                <w:noProof/>
                <w:webHidden/>
              </w:rPr>
            </w:r>
            <w:r w:rsidR="00BE78C6">
              <w:rPr>
                <w:noProof/>
                <w:webHidden/>
              </w:rPr>
              <w:fldChar w:fldCharType="separate"/>
            </w:r>
            <w:r w:rsidR="00BE78C6">
              <w:rPr>
                <w:noProof/>
                <w:webHidden/>
              </w:rPr>
              <w:t>34</w:t>
            </w:r>
            <w:r w:rsidR="00BE78C6">
              <w:rPr>
                <w:noProof/>
                <w:webHidden/>
              </w:rPr>
              <w:fldChar w:fldCharType="end"/>
            </w:r>
          </w:hyperlink>
        </w:p>
        <w:p w14:paraId="22275630"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412" w:history="1">
            <w:r w:rsidR="00BE78C6" w:rsidRPr="00A221D7">
              <w:rPr>
                <w:rStyle w:val="Hyperlink"/>
                <w:rFonts w:eastAsia="Calibri"/>
                <w:noProof/>
              </w:rPr>
              <w:t>CHAPTER II: STUDENT OUTREACH AND RESPONSIVENESS TO THE COMMUNITY</w:t>
            </w:r>
            <w:r w:rsidR="00BE78C6">
              <w:rPr>
                <w:noProof/>
                <w:webHidden/>
              </w:rPr>
              <w:tab/>
            </w:r>
            <w:r w:rsidR="00BE78C6">
              <w:rPr>
                <w:noProof/>
                <w:webHidden/>
              </w:rPr>
              <w:fldChar w:fldCharType="begin"/>
            </w:r>
            <w:r w:rsidR="00BE78C6">
              <w:rPr>
                <w:noProof/>
                <w:webHidden/>
              </w:rPr>
              <w:instrText xml:space="preserve"> PAGEREF _Toc506217412 \h </w:instrText>
            </w:r>
            <w:r w:rsidR="00BE78C6">
              <w:rPr>
                <w:noProof/>
                <w:webHidden/>
              </w:rPr>
            </w:r>
            <w:r w:rsidR="00BE78C6">
              <w:rPr>
                <w:noProof/>
                <w:webHidden/>
              </w:rPr>
              <w:fldChar w:fldCharType="separate"/>
            </w:r>
            <w:r w:rsidR="00BE78C6">
              <w:rPr>
                <w:noProof/>
                <w:webHidden/>
              </w:rPr>
              <w:t>36</w:t>
            </w:r>
            <w:r w:rsidR="00BE78C6">
              <w:rPr>
                <w:noProof/>
                <w:webHidden/>
              </w:rPr>
              <w:fldChar w:fldCharType="end"/>
            </w:r>
          </w:hyperlink>
        </w:p>
        <w:p w14:paraId="5A223019" w14:textId="77777777" w:rsidR="00BE78C6" w:rsidRDefault="002A5133">
          <w:pPr>
            <w:pStyle w:val="TOC2"/>
            <w:tabs>
              <w:tab w:val="right" w:leader="hyphen" w:pos="11136"/>
            </w:tabs>
            <w:rPr>
              <w:rFonts w:eastAsiaTheme="minorEastAsia"/>
              <w:b w:val="0"/>
              <w:bCs w:val="0"/>
              <w:noProof/>
              <w:sz w:val="22"/>
              <w:szCs w:val="22"/>
            </w:rPr>
          </w:pPr>
          <w:hyperlink w:anchor="_Toc506217413" w:history="1">
            <w:r w:rsidR="00BE78C6" w:rsidRPr="00A221D7">
              <w:rPr>
                <w:rStyle w:val="Hyperlink"/>
                <w:noProof/>
              </w:rPr>
              <w:t>Annual Resident Full-Time Equivalent Students (FTES)</w:t>
            </w:r>
            <w:r w:rsidR="00BE78C6">
              <w:rPr>
                <w:noProof/>
                <w:webHidden/>
              </w:rPr>
              <w:tab/>
            </w:r>
            <w:r w:rsidR="00BE78C6">
              <w:rPr>
                <w:noProof/>
                <w:webHidden/>
              </w:rPr>
              <w:fldChar w:fldCharType="begin"/>
            </w:r>
            <w:r w:rsidR="00BE78C6">
              <w:rPr>
                <w:noProof/>
                <w:webHidden/>
              </w:rPr>
              <w:instrText xml:space="preserve"> PAGEREF _Toc506217413 \h </w:instrText>
            </w:r>
            <w:r w:rsidR="00BE78C6">
              <w:rPr>
                <w:noProof/>
                <w:webHidden/>
              </w:rPr>
            </w:r>
            <w:r w:rsidR="00BE78C6">
              <w:rPr>
                <w:noProof/>
                <w:webHidden/>
              </w:rPr>
              <w:fldChar w:fldCharType="separate"/>
            </w:r>
            <w:r w:rsidR="00BE78C6">
              <w:rPr>
                <w:noProof/>
                <w:webHidden/>
              </w:rPr>
              <w:t>36</w:t>
            </w:r>
            <w:r w:rsidR="00BE78C6">
              <w:rPr>
                <w:noProof/>
                <w:webHidden/>
              </w:rPr>
              <w:fldChar w:fldCharType="end"/>
            </w:r>
          </w:hyperlink>
        </w:p>
        <w:p w14:paraId="6C9C25EA" w14:textId="77777777" w:rsidR="00BE78C6" w:rsidRDefault="002A5133">
          <w:pPr>
            <w:pStyle w:val="TOC2"/>
            <w:tabs>
              <w:tab w:val="right" w:leader="hyphen" w:pos="11136"/>
            </w:tabs>
            <w:rPr>
              <w:rFonts w:eastAsiaTheme="minorEastAsia"/>
              <w:b w:val="0"/>
              <w:bCs w:val="0"/>
              <w:noProof/>
              <w:sz w:val="22"/>
              <w:szCs w:val="22"/>
            </w:rPr>
          </w:pPr>
          <w:hyperlink w:anchor="_Toc506217414" w:history="1">
            <w:r w:rsidR="00BE78C6" w:rsidRPr="00A221D7">
              <w:rPr>
                <w:rStyle w:val="Hyperlink"/>
                <w:noProof/>
              </w:rPr>
              <w:t>Student Headcounts</w:t>
            </w:r>
            <w:r w:rsidR="00BE78C6">
              <w:rPr>
                <w:noProof/>
                <w:webHidden/>
              </w:rPr>
              <w:tab/>
            </w:r>
            <w:r w:rsidR="00BE78C6">
              <w:rPr>
                <w:noProof/>
                <w:webHidden/>
              </w:rPr>
              <w:fldChar w:fldCharType="begin"/>
            </w:r>
            <w:r w:rsidR="00BE78C6">
              <w:rPr>
                <w:noProof/>
                <w:webHidden/>
              </w:rPr>
              <w:instrText xml:space="preserve"> PAGEREF _Toc506217414 \h </w:instrText>
            </w:r>
            <w:r w:rsidR="00BE78C6">
              <w:rPr>
                <w:noProof/>
                <w:webHidden/>
              </w:rPr>
            </w:r>
            <w:r w:rsidR="00BE78C6">
              <w:rPr>
                <w:noProof/>
                <w:webHidden/>
              </w:rPr>
              <w:fldChar w:fldCharType="separate"/>
            </w:r>
            <w:r w:rsidR="00BE78C6">
              <w:rPr>
                <w:noProof/>
                <w:webHidden/>
              </w:rPr>
              <w:t>36</w:t>
            </w:r>
            <w:r w:rsidR="00BE78C6">
              <w:rPr>
                <w:noProof/>
                <w:webHidden/>
              </w:rPr>
              <w:fldChar w:fldCharType="end"/>
            </w:r>
          </w:hyperlink>
        </w:p>
        <w:p w14:paraId="3D67855C" w14:textId="77777777" w:rsidR="00BE78C6" w:rsidRDefault="002A5133">
          <w:pPr>
            <w:pStyle w:val="TOC3"/>
            <w:tabs>
              <w:tab w:val="right" w:leader="hyphen" w:pos="11136"/>
            </w:tabs>
            <w:rPr>
              <w:rFonts w:eastAsiaTheme="minorEastAsia"/>
              <w:noProof/>
              <w:sz w:val="22"/>
              <w:szCs w:val="22"/>
            </w:rPr>
          </w:pPr>
          <w:hyperlink w:anchor="_Toc506217415" w:history="1">
            <w:r w:rsidR="00BE78C6" w:rsidRPr="00A221D7">
              <w:rPr>
                <w:rStyle w:val="Hyperlink"/>
                <w:noProof/>
              </w:rPr>
              <w:t>Credit Student Headcount</w:t>
            </w:r>
            <w:r w:rsidR="00BE78C6">
              <w:rPr>
                <w:noProof/>
                <w:webHidden/>
              </w:rPr>
              <w:tab/>
            </w:r>
            <w:r w:rsidR="00BE78C6">
              <w:rPr>
                <w:noProof/>
                <w:webHidden/>
              </w:rPr>
              <w:fldChar w:fldCharType="begin"/>
            </w:r>
            <w:r w:rsidR="00BE78C6">
              <w:rPr>
                <w:noProof/>
                <w:webHidden/>
              </w:rPr>
              <w:instrText xml:space="preserve"> PAGEREF _Toc506217415 \h </w:instrText>
            </w:r>
            <w:r w:rsidR="00BE78C6">
              <w:rPr>
                <w:noProof/>
                <w:webHidden/>
              </w:rPr>
            </w:r>
            <w:r w:rsidR="00BE78C6">
              <w:rPr>
                <w:noProof/>
                <w:webHidden/>
              </w:rPr>
              <w:fldChar w:fldCharType="separate"/>
            </w:r>
            <w:r w:rsidR="00BE78C6">
              <w:rPr>
                <w:noProof/>
                <w:webHidden/>
              </w:rPr>
              <w:t>36</w:t>
            </w:r>
            <w:r w:rsidR="00BE78C6">
              <w:rPr>
                <w:noProof/>
                <w:webHidden/>
              </w:rPr>
              <w:fldChar w:fldCharType="end"/>
            </w:r>
          </w:hyperlink>
        </w:p>
        <w:p w14:paraId="4773DDEF" w14:textId="77777777" w:rsidR="00BE78C6" w:rsidRDefault="002A5133">
          <w:pPr>
            <w:pStyle w:val="TOC3"/>
            <w:tabs>
              <w:tab w:val="right" w:leader="hyphen" w:pos="11136"/>
            </w:tabs>
            <w:rPr>
              <w:rFonts w:eastAsiaTheme="minorEastAsia"/>
              <w:noProof/>
              <w:sz w:val="22"/>
              <w:szCs w:val="22"/>
            </w:rPr>
          </w:pPr>
          <w:hyperlink w:anchor="_Toc506217416" w:history="1">
            <w:r w:rsidR="00BE78C6" w:rsidRPr="00A221D7">
              <w:rPr>
                <w:rStyle w:val="Hyperlink"/>
                <w:noProof/>
              </w:rPr>
              <w:t>Full-Time Credit Student Headcount</w:t>
            </w:r>
            <w:r w:rsidR="00BE78C6">
              <w:rPr>
                <w:noProof/>
                <w:webHidden/>
              </w:rPr>
              <w:tab/>
            </w:r>
            <w:r w:rsidR="00BE78C6">
              <w:rPr>
                <w:noProof/>
                <w:webHidden/>
              </w:rPr>
              <w:fldChar w:fldCharType="begin"/>
            </w:r>
            <w:r w:rsidR="00BE78C6">
              <w:rPr>
                <w:noProof/>
                <w:webHidden/>
              </w:rPr>
              <w:instrText xml:space="preserve"> PAGEREF _Toc506217416 \h </w:instrText>
            </w:r>
            <w:r w:rsidR="00BE78C6">
              <w:rPr>
                <w:noProof/>
                <w:webHidden/>
              </w:rPr>
            </w:r>
            <w:r w:rsidR="00BE78C6">
              <w:rPr>
                <w:noProof/>
                <w:webHidden/>
              </w:rPr>
              <w:fldChar w:fldCharType="separate"/>
            </w:r>
            <w:r w:rsidR="00BE78C6">
              <w:rPr>
                <w:noProof/>
                <w:webHidden/>
              </w:rPr>
              <w:t>37</w:t>
            </w:r>
            <w:r w:rsidR="00BE78C6">
              <w:rPr>
                <w:noProof/>
                <w:webHidden/>
              </w:rPr>
              <w:fldChar w:fldCharType="end"/>
            </w:r>
          </w:hyperlink>
        </w:p>
        <w:p w14:paraId="4315E68D" w14:textId="77777777" w:rsidR="00BE78C6" w:rsidRDefault="002A5133">
          <w:pPr>
            <w:pStyle w:val="TOC3"/>
            <w:tabs>
              <w:tab w:val="right" w:leader="hyphen" w:pos="11136"/>
            </w:tabs>
            <w:rPr>
              <w:rFonts w:eastAsiaTheme="minorEastAsia"/>
              <w:noProof/>
              <w:sz w:val="22"/>
              <w:szCs w:val="22"/>
            </w:rPr>
          </w:pPr>
          <w:hyperlink w:anchor="_Toc506217417" w:history="1">
            <w:r w:rsidR="00BE78C6" w:rsidRPr="00A221D7">
              <w:rPr>
                <w:rStyle w:val="Hyperlink"/>
                <w:noProof/>
              </w:rPr>
              <w:t>First-Time Students from the District’s Local High Schools</w:t>
            </w:r>
            <w:r w:rsidR="00BE78C6">
              <w:rPr>
                <w:noProof/>
                <w:webHidden/>
              </w:rPr>
              <w:tab/>
            </w:r>
            <w:r w:rsidR="00BE78C6">
              <w:rPr>
                <w:noProof/>
                <w:webHidden/>
              </w:rPr>
              <w:fldChar w:fldCharType="begin"/>
            </w:r>
            <w:r w:rsidR="00BE78C6">
              <w:rPr>
                <w:noProof/>
                <w:webHidden/>
              </w:rPr>
              <w:instrText xml:space="preserve"> PAGEREF _Toc506217417 \h </w:instrText>
            </w:r>
            <w:r w:rsidR="00BE78C6">
              <w:rPr>
                <w:noProof/>
                <w:webHidden/>
              </w:rPr>
            </w:r>
            <w:r w:rsidR="00BE78C6">
              <w:rPr>
                <w:noProof/>
                <w:webHidden/>
              </w:rPr>
              <w:fldChar w:fldCharType="separate"/>
            </w:r>
            <w:r w:rsidR="00BE78C6">
              <w:rPr>
                <w:noProof/>
                <w:webHidden/>
              </w:rPr>
              <w:t>37</w:t>
            </w:r>
            <w:r w:rsidR="00BE78C6">
              <w:rPr>
                <w:noProof/>
                <w:webHidden/>
              </w:rPr>
              <w:fldChar w:fldCharType="end"/>
            </w:r>
          </w:hyperlink>
        </w:p>
        <w:p w14:paraId="3A3A8910" w14:textId="77777777" w:rsidR="00BE78C6" w:rsidRDefault="002A5133">
          <w:pPr>
            <w:pStyle w:val="TOC3"/>
            <w:tabs>
              <w:tab w:val="right" w:leader="hyphen" w:pos="11136"/>
            </w:tabs>
            <w:rPr>
              <w:rFonts w:eastAsiaTheme="minorEastAsia"/>
              <w:noProof/>
              <w:sz w:val="22"/>
              <w:szCs w:val="22"/>
            </w:rPr>
          </w:pPr>
          <w:hyperlink w:anchor="_Toc506217418" w:history="1">
            <w:r w:rsidR="00BE78C6" w:rsidRPr="00A221D7">
              <w:rPr>
                <w:rStyle w:val="Hyperlink"/>
                <w:noProof/>
              </w:rPr>
              <w:t>Online Student Headcount</w:t>
            </w:r>
            <w:r w:rsidR="00BE78C6">
              <w:rPr>
                <w:noProof/>
                <w:webHidden/>
              </w:rPr>
              <w:tab/>
            </w:r>
            <w:r w:rsidR="00BE78C6">
              <w:rPr>
                <w:noProof/>
                <w:webHidden/>
              </w:rPr>
              <w:fldChar w:fldCharType="begin"/>
            </w:r>
            <w:r w:rsidR="00BE78C6">
              <w:rPr>
                <w:noProof/>
                <w:webHidden/>
              </w:rPr>
              <w:instrText xml:space="preserve"> PAGEREF _Toc506217418 \h </w:instrText>
            </w:r>
            <w:r w:rsidR="00BE78C6">
              <w:rPr>
                <w:noProof/>
                <w:webHidden/>
              </w:rPr>
            </w:r>
            <w:r w:rsidR="00BE78C6">
              <w:rPr>
                <w:noProof/>
                <w:webHidden/>
              </w:rPr>
              <w:fldChar w:fldCharType="separate"/>
            </w:r>
            <w:r w:rsidR="00BE78C6">
              <w:rPr>
                <w:noProof/>
                <w:webHidden/>
              </w:rPr>
              <w:t>38</w:t>
            </w:r>
            <w:r w:rsidR="00BE78C6">
              <w:rPr>
                <w:noProof/>
                <w:webHidden/>
              </w:rPr>
              <w:fldChar w:fldCharType="end"/>
            </w:r>
          </w:hyperlink>
        </w:p>
        <w:p w14:paraId="72A8FC7B" w14:textId="77777777" w:rsidR="00BE78C6" w:rsidRDefault="002A5133">
          <w:pPr>
            <w:pStyle w:val="TOC3"/>
            <w:tabs>
              <w:tab w:val="right" w:leader="hyphen" w:pos="11136"/>
            </w:tabs>
            <w:rPr>
              <w:rFonts w:eastAsiaTheme="minorEastAsia"/>
              <w:noProof/>
              <w:sz w:val="22"/>
              <w:szCs w:val="22"/>
            </w:rPr>
          </w:pPr>
          <w:hyperlink w:anchor="_Toc506217419" w:history="1">
            <w:r w:rsidR="00BE78C6" w:rsidRPr="00A221D7">
              <w:rPr>
                <w:rStyle w:val="Hyperlink"/>
                <w:noProof/>
              </w:rPr>
              <w:t>Percentage of the District Adult Population Served by the Credit Program</w:t>
            </w:r>
            <w:r w:rsidR="00BE78C6">
              <w:rPr>
                <w:noProof/>
                <w:webHidden/>
              </w:rPr>
              <w:tab/>
            </w:r>
            <w:r w:rsidR="00BE78C6">
              <w:rPr>
                <w:noProof/>
                <w:webHidden/>
              </w:rPr>
              <w:fldChar w:fldCharType="begin"/>
            </w:r>
            <w:r w:rsidR="00BE78C6">
              <w:rPr>
                <w:noProof/>
                <w:webHidden/>
              </w:rPr>
              <w:instrText xml:space="preserve"> PAGEREF _Toc506217419 \h </w:instrText>
            </w:r>
            <w:r w:rsidR="00BE78C6">
              <w:rPr>
                <w:noProof/>
                <w:webHidden/>
              </w:rPr>
            </w:r>
            <w:r w:rsidR="00BE78C6">
              <w:rPr>
                <w:noProof/>
                <w:webHidden/>
              </w:rPr>
              <w:fldChar w:fldCharType="separate"/>
            </w:r>
            <w:r w:rsidR="00BE78C6">
              <w:rPr>
                <w:noProof/>
                <w:webHidden/>
              </w:rPr>
              <w:t>39</w:t>
            </w:r>
            <w:r w:rsidR="00BE78C6">
              <w:rPr>
                <w:noProof/>
                <w:webHidden/>
              </w:rPr>
              <w:fldChar w:fldCharType="end"/>
            </w:r>
          </w:hyperlink>
        </w:p>
        <w:p w14:paraId="57EAFA6F" w14:textId="77777777" w:rsidR="00BE78C6" w:rsidRDefault="002A5133">
          <w:pPr>
            <w:pStyle w:val="TOC3"/>
            <w:tabs>
              <w:tab w:val="right" w:leader="hyphen" w:pos="11136"/>
            </w:tabs>
            <w:rPr>
              <w:rFonts w:eastAsiaTheme="minorEastAsia"/>
              <w:noProof/>
              <w:sz w:val="22"/>
              <w:szCs w:val="22"/>
            </w:rPr>
          </w:pPr>
          <w:hyperlink w:anchor="_Toc506217420" w:history="1">
            <w:r w:rsidR="00BE78C6" w:rsidRPr="00A221D7">
              <w:rPr>
                <w:rStyle w:val="Hyperlink"/>
                <w:noProof/>
              </w:rPr>
              <w:t>Credit Student Ethnic Composition</w:t>
            </w:r>
            <w:r w:rsidR="00BE78C6">
              <w:rPr>
                <w:noProof/>
                <w:webHidden/>
              </w:rPr>
              <w:tab/>
            </w:r>
            <w:r w:rsidR="00BE78C6">
              <w:rPr>
                <w:noProof/>
                <w:webHidden/>
              </w:rPr>
              <w:fldChar w:fldCharType="begin"/>
            </w:r>
            <w:r w:rsidR="00BE78C6">
              <w:rPr>
                <w:noProof/>
                <w:webHidden/>
              </w:rPr>
              <w:instrText xml:space="preserve"> PAGEREF _Toc506217420 \h </w:instrText>
            </w:r>
            <w:r w:rsidR="00BE78C6">
              <w:rPr>
                <w:noProof/>
                <w:webHidden/>
              </w:rPr>
            </w:r>
            <w:r w:rsidR="00BE78C6">
              <w:rPr>
                <w:noProof/>
                <w:webHidden/>
              </w:rPr>
              <w:fldChar w:fldCharType="separate"/>
            </w:r>
            <w:r w:rsidR="00BE78C6">
              <w:rPr>
                <w:noProof/>
                <w:webHidden/>
              </w:rPr>
              <w:t>40</w:t>
            </w:r>
            <w:r w:rsidR="00BE78C6">
              <w:rPr>
                <w:noProof/>
                <w:webHidden/>
              </w:rPr>
              <w:fldChar w:fldCharType="end"/>
            </w:r>
          </w:hyperlink>
        </w:p>
        <w:p w14:paraId="6C9668FC" w14:textId="77777777" w:rsidR="00BE78C6" w:rsidRDefault="002A5133">
          <w:pPr>
            <w:pStyle w:val="TOC3"/>
            <w:tabs>
              <w:tab w:val="right" w:leader="hyphen" w:pos="11136"/>
            </w:tabs>
            <w:rPr>
              <w:rFonts w:eastAsiaTheme="minorEastAsia"/>
              <w:noProof/>
              <w:sz w:val="22"/>
              <w:szCs w:val="22"/>
            </w:rPr>
          </w:pPr>
          <w:hyperlink w:anchor="_Toc506217421" w:history="1">
            <w:r w:rsidR="00BE78C6" w:rsidRPr="00A221D7">
              <w:rPr>
                <w:rStyle w:val="Hyperlink"/>
                <w:noProof/>
              </w:rPr>
              <w:t>Credit Gender Composition</w:t>
            </w:r>
            <w:r w:rsidR="00BE78C6">
              <w:rPr>
                <w:noProof/>
                <w:webHidden/>
              </w:rPr>
              <w:tab/>
            </w:r>
            <w:r w:rsidR="00BE78C6">
              <w:rPr>
                <w:noProof/>
                <w:webHidden/>
              </w:rPr>
              <w:fldChar w:fldCharType="begin"/>
            </w:r>
            <w:r w:rsidR="00BE78C6">
              <w:rPr>
                <w:noProof/>
                <w:webHidden/>
              </w:rPr>
              <w:instrText xml:space="preserve"> PAGEREF _Toc506217421 \h </w:instrText>
            </w:r>
            <w:r w:rsidR="00BE78C6">
              <w:rPr>
                <w:noProof/>
                <w:webHidden/>
              </w:rPr>
            </w:r>
            <w:r w:rsidR="00BE78C6">
              <w:rPr>
                <w:noProof/>
                <w:webHidden/>
              </w:rPr>
              <w:fldChar w:fldCharType="separate"/>
            </w:r>
            <w:r w:rsidR="00BE78C6">
              <w:rPr>
                <w:noProof/>
                <w:webHidden/>
              </w:rPr>
              <w:t>41</w:t>
            </w:r>
            <w:r w:rsidR="00BE78C6">
              <w:rPr>
                <w:noProof/>
                <w:webHidden/>
              </w:rPr>
              <w:fldChar w:fldCharType="end"/>
            </w:r>
          </w:hyperlink>
        </w:p>
        <w:p w14:paraId="614684A1" w14:textId="77777777" w:rsidR="00BE78C6" w:rsidRDefault="002A5133">
          <w:pPr>
            <w:pStyle w:val="TOC3"/>
            <w:tabs>
              <w:tab w:val="right" w:leader="hyphen" w:pos="11136"/>
            </w:tabs>
            <w:rPr>
              <w:rFonts w:eastAsiaTheme="minorEastAsia"/>
              <w:noProof/>
              <w:sz w:val="22"/>
              <w:szCs w:val="22"/>
            </w:rPr>
          </w:pPr>
          <w:hyperlink w:anchor="_Toc506217422" w:history="1">
            <w:r w:rsidR="00BE78C6" w:rsidRPr="00A221D7">
              <w:rPr>
                <w:rStyle w:val="Hyperlink"/>
                <w:noProof/>
              </w:rPr>
              <w:t>Credit Student Age Composition</w:t>
            </w:r>
            <w:r w:rsidR="00BE78C6">
              <w:rPr>
                <w:noProof/>
                <w:webHidden/>
              </w:rPr>
              <w:tab/>
            </w:r>
            <w:r w:rsidR="00BE78C6">
              <w:rPr>
                <w:noProof/>
                <w:webHidden/>
              </w:rPr>
              <w:fldChar w:fldCharType="begin"/>
            </w:r>
            <w:r w:rsidR="00BE78C6">
              <w:rPr>
                <w:noProof/>
                <w:webHidden/>
              </w:rPr>
              <w:instrText xml:space="preserve"> PAGEREF _Toc506217422 \h </w:instrText>
            </w:r>
            <w:r w:rsidR="00BE78C6">
              <w:rPr>
                <w:noProof/>
                <w:webHidden/>
              </w:rPr>
            </w:r>
            <w:r w:rsidR="00BE78C6">
              <w:rPr>
                <w:noProof/>
                <w:webHidden/>
              </w:rPr>
              <w:fldChar w:fldCharType="separate"/>
            </w:r>
            <w:r w:rsidR="00BE78C6">
              <w:rPr>
                <w:noProof/>
                <w:webHidden/>
              </w:rPr>
              <w:t>42</w:t>
            </w:r>
            <w:r w:rsidR="00BE78C6">
              <w:rPr>
                <w:noProof/>
                <w:webHidden/>
              </w:rPr>
              <w:fldChar w:fldCharType="end"/>
            </w:r>
          </w:hyperlink>
        </w:p>
        <w:p w14:paraId="695B02B5" w14:textId="77777777" w:rsidR="00BE78C6" w:rsidRDefault="002A5133">
          <w:pPr>
            <w:pStyle w:val="TOC3"/>
            <w:tabs>
              <w:tab w:val="right" w:leader="hyphen" w:pos="11136"/>
            </w:tabs>
            <w:rPr>
              <w:rFonts w:eastAsiaTheme="minorEastAsia"/>
              <w:noProof/>
              <w:sz w:val="22"/>
              <w:szCs w:val="22"/>
            </w:rPr>
          </w:pPr>
          <w:hyperlink w:anchor="_Toc506217423" w:history="1">
            <w:r w:rsidR="00BE78C6" w:rsidRPr="00A221D7">
              <w:rPr>
                <w:rStyle w:val="Hyperlink"/>
                <w:noProof/>
              </w:rPr>
              <w:t>Students with Disabilities</w:t>
            </w:r>
            <w:r w:rsidR="00BE78C6">
              <w:rPr>
                <w:noProof/>
                <w:webHidden/>
              </w:rPr>
              <w:tab/>
            </w:r>
            <w:r w:rsidR="00BE78C6">
              <w:rPr>
                <w:noProof/>
                <w:webHidden/>
              </w:rPr>
              <w:fldChar w:fldCharType="begin"/>
            </w:r>
            <w:r w:rsidR="00BE78C6">
              <w:rPr>
                <w:noProof/>
                <w:webHidden/>
              </w:rPr>
              <w:instrText xml:space="preserve"> PAGEREF _Toc506217423 \h </w:instrText>
            </w:r>
            <w:r w:rsidR="00BE78C6">
              <w:rPr>
                <w:noProof/>
                <w:webHidden/>
              </w:rPr>
            </w:r>
            <w:r w:rsidR="00BE78C6">
              <w:rPr>
                <w:noProof/>
                <w:webHidden/>
              </w:rPr>
              <w:fldChar w:fldCharType="separate"/>
            </w:r>
            <w:r w:rsidR="00BE78C6">
              <w:rPr>
                <w:noProof/>
                <w:webHidden/>
              </w:rPr>
              <w:t>43</w:t>
            </w:r>
            <w:r w:rsidR="00BE78C6">
              <w:rPr>
                <w:noProof/>
                <w:webHidden/>
              </w:rPr>
              <w:fldChar w:fldCharType="end"/>
            </w:r>
          </w:hyperlink>
        </w:p>
        <w:p w14:paraId="6383BB02" w14:textId="77777777" w:rsidR="00BE78C6" w:rsidRDefault="002A5133">
          <w:pPr>
            <w:pStyle w:val="TOC3"/>
            <w:tabs>
              <w:tab w:val="right" w:leader="hyphen" w:pos="11136"/>
            </w:tabs>
            <w:rPr>
              <w:rFonts w:eastAsiaTheme="minorEastAsia"/>
              <w:noProof/>
              <w:sz w:val="22"/>
              <w:szCs w:val="22"/>
            </w:rPr>
          </w:pPr>
          <w:hyperlink w:anchor="_Toc506217424" w:history="1">
            <w:r w:rsidR="00BE78C6" w:rsidRPr="00A221D7">
              <w:rPr>
                <w:rStyle w:val="Hyperlink"/>
                <w:noProof/>
              </w:rPr>
              <w:t>Extended Opportunity Programs and Services (EOPS)</w:t>
            </w:r>
            <w:r w:rsidR="00BE78C6">
              <w:rPr>
                <w:noProof/>
                <w:webHidden/>
              </w:rPr>
              <w:tab/>
            </w:r>
            <w:r w:rsidR="00BE78C6">
              <w:rPr>
                <w:noProof/>
                <w:webHidden/>
              </w:rPr>
              <w:fldChar w:fldCharType="begin"/>
            </w:r>
            <w:r w:rsidR="00BE78C6">
              <w:rPr>
                <w:noProof/>
                <w:webHidden/>
              </w:rPr>
              <w:instrText xml:space="preserve"> PAGEREF _Toc506217424 \h </w:instrText>
            </w:r>
            <w:r w:rsidR="00BE78C6">
              <w:rPr>
                <w:noProof/>
                <w:webHidden/>
              </w:rPr>
            </w:r>
            <w:r w:rsidR="00BE78C6">
              <w:rPr>
                <w:noProof/>
                <w:webHidden/>
              </w:rPr>
              <w:fldChar w:fldCharType="separate"/>
            </w:r>
            <w:r w:rsidR="00BE78C6">
              <w:rPr>
                <w:noProof/>
                <w:webHidden/>
              </w:rPr>
              <w:t>43</w:t>
            </w:r>
            <w:r w:rsidR="00BE78C6">
              <w:rPr>
                <w:noProof/>
                <w:webHidden/>
              </w:rPr>
              <w:fldChar w:fldCharType="end"/>
            </w:r>
          </w:hyperlink>
        </w:p>
        <w:p w14:paraId="4FAA3316" w14:textId="77777777" w:rsidR="00BE78C6" w:rsidRDefault="002A5133">
          <w:pPr>
            <w:pStyle w:val="TOC3"/>
            <w:tabs>
              <w:tab w:val="right" w:leader="hyphen" w:pos="11136"/>
            </w:tabs>
            <w:rPr>
              <w:rFonts w:eastAsiaTheme="minorEastAsia"/>
              <w:noProof/>
              <w:sz w:val="22"/>
              <w:szCs w:val="22"/>
            </w:rPr>
          </w:pPr>
          <w:hyperlink w:anchor="_Toc506217425" w:history="1">
            <w:r w:rsidR="00BE78C6" w:rsidRPr="00A221D7">
              <w:rPr>
                <w:rStyle w:val="Hyperlink"/>
                <w:noProof/>
              </w:rPr>
              <w:t>Economically Disadvantaged Students</w:t>
            </w:r>
            <w:r w:rsidR="00BE78C6">
              <w:rPr>
                <w:noProof/>
                <w:webHidden/>
              </w:rPr>
              <w:tab/>
            </w:r>
            <w:r w:rsidR="00BE78C6">
              <w:rPr>
                <w:noProof/>
                <w:webHidden/>
              </w:rPr>
              <w:fldChar w:fldCharType="begin"/>
            </w:r>
            <w:r w:rsidR="00BE78C6">
              <w:rPr>
                <w:noProof/>
                <w:webHidden/>
              </w:rPr>
              <w:instrText xml:space="preserve"> PAGEREF _Toc506217425 \h </w:instrText>
            </w:r>
            <w:r w:rsidR="00BE78C6">
              <w:rPr>
                <w:noProof/>
                <w:webHidden/>
              </w:rPr>
            </w:r>
            <w:r w:rsidR="00BE78C6">
              <w:rPr>
                <w:noProof/>
                <w:webHidden/>
              </w:rPr>
              <w:fldChar w:fldCharType="separate"/>
            </w:r>
            <w:r w:rsidR="00BE78C6">
              <w:rPr>
                <w:noProof/>
                <w:webHidden/>
              </w:rPr>
              <w:t>44</w:t>
            </w:r>
            <w:r w:rsidR="00BE78C6">
              <w:rPr>
                <w:noProof/>
                <w:webHidden/>
              </w:rPr>
              <w:fldChar w:fldCharType="end"/>
            </w:r>
          </w:hyperlink>
        </w:p>
        <w:p w14:paraId="4F76BA65" w14:textId="77777777" w:rsidR="00BE78C6" w:rsidRDefault="002A5133">
          <w:pPr>
            <w:pStyle w:val="TOC3"/>
            <w:tabs>
              <w:tab w:val="right" w:leader="hyphen" w:pos="11136"/>
            </w:tabs>
            <w:rPr>
              <w:rFonts w:eastAsiaTheme="minorEastAsia"/>
              <w:noProof/>
              <w:sz w:val="22"/>
              <w:szCs w:val="22"/>
            </w:rPr>
          </w:pPr>
          <w:hyperlink w:anchor="_Toc506217426" w:history="1">
            <w:r w:rsidR="00BE78C6" w:rsidRPr="00A221D7">
              <w:rPr>
                <w:rStyle w:val="Hyperlink"/>
                <w:noProof/>
              </w:rPr>
              <w:t>Financial Aid Awards</w:t>
            </w:r>
            <w:r w:rsidR="00BE78C6">
              <w:rPr>
                <w:noProof/>
                <w:webHidden/>
              </w:rPr>
              <w:tab/>
            </w:r>
            <w:r w:rsidR="00BE78C6">
              <w:rPr>
                <w:noProof/>
                <w:webHidden/>
              </w:rPr>
              <w:fldChar w:fldCharType="begin"/>
            </w:r>
            <w:r w:rsidR="00BE78C6">
              <w:rPr>
                <w:noProof/>
                <w:webHidden/>
              </w:rPr>
              <w:instrText xml:space="preserve"> PAGEREF _Toc506217426 \h </w:instrText>
            </w:r>
            <w:r w:rsidR="00BE78C6">
              <w:rPr>
                <w:noProof/>
                <w:webHidden/>
              </w:rPr>
            </w:r>
            <w:r w:rsidR="00BE78C6">
              <w:rPr>
                <w:noProof/>
                <w:webHidden/>
              </w:rPr>
              <w:fldChar w:fldCharType="separate"/>
            </w:r>
            <w:r w:rsidR="00BE78C6">
              <w:rPr>
                <w:noProof/>
                <w:webHidden/>
              </w:rPr>
              <w:t>44</w:t>
            </w:r>
            <w:r w:rsidR="00BE78C6">
              <w:rPr>
                <w:noProof/>
                <w:webHidden/>
              </w:rPr>
              <w:fldChar w:fldCharType="end"/>
            </w:r>
          </w:hyperlink>
        </w:p>
        <w:p w14:paraId="18D981A5" w14:textId="77777777" w:rsidR="00BE78C6" w:rsidRDefault="002A5133">
          <w:pPr>
            <w:pStyle w:val="TOC3"/>
            <w:tabs>
              <w:tab w:val="right" w:leader="hyphen" w:pos="11136"/>
            </w:tabs>
            <w:rPr>
              <w:rFonts w:eastAsiaTheme="minorEastAsia"/>
              <w:noProof/>
              <w:sz w:val="22"/>
              <w:szCs w:val="22"/>
            </w:rPr>
          </w:pPr>
          <w:hyperlink w:anchor="_Toc506217427" w:history="1">
            <w:r w:rsidR="00BE78C6" w:rsidRPr="00A221D7">
              <w:rPr>
                <w:rStyle w:val="Hyperlink"/>
                <w:noProof/>
              </w:rPr>
              <w:t>International Students</w:t>
            </w:r>
            <w:r w:rsidR="00BE78C6">
              <w:rPr>
                <w:noProof/>
                <w:webHidden/>
              </w:rPr>
              <w:tab/>
            </w:r>
            <w:r w:rsidR="00BE78C6">
              <w:rPr>
                <w:noProof/>
                <w:webHidden/>
              </w:rPr>
              <w:fldChar w:fldCharType="begin"/>
            </w:r>
            <w:r w:rsidR="00BE78C6">
              <w:rPr>
                <w:noProof/>
                <w:webHidden/>
              </w:rPr>
              <w:instrText xml:space="preserve"> PAGEREF _Toc506217427 \h </w:instrText>
            </w:r>
            <w:r w:rsidR="00BE78C6">
              <w:rPr>
                <w:noProof/>
                <w:webHidden/>
              </w:rPr>
            </w:r>
            <w:r w:rsidR="00BE78C6">
              <w:rPr>
                <w:noProof/>
                <w:webHidden/>
              </w:rPr>
              <w:fldChar w:fldCharType="separate"/>
            </w:r>
            <w:r w:rsidR="00BE78C6">
              <w:rPr>
                <w:noProof/>
                <w:webHidden/>
              </w:rPr>
              <w:t>45</w:t>
            </w:r>
            <w:r w:rsidR="00BE78C6">
              <w:rPr>
                <w:noProof/>
                <w:webHidden/>
              </w:rPr>
              <w:fldChar w:fldCharType="end"/>
            </w:r>
          </w:hyperlink>
        </w:p>
        <w:p w14:paraId="6B4F5F52" w14:textId="77777777" w:rsidR="00BE78C6" w:rsidRDefault="002A5133">
          <w:pPr>
            <w:pStyle w:val="TOC3"/>
            <w:tabs>
              <w:tab w:val="right" w:leader="hyphen" w:pos="11136"/>
            </w:tabs>
            <w:rPr>
              <w:rFonts w:eastAsiaTheme="minorEastAsia"/>
              <w:noProof/>
              <w:sz w:val="22"/>
              <w:szCs w:val="22"/>
            </w:rPr>
          </w:pPr>
          <w:hyperlink w:anchor="_Toc506217428" w:history="1">
            <w:r w:rsidR="00BE78C6" w:rsidRPr="00A221D7">
              <w:rPr>
                <w:rStyle w:val="Hyperlink"/>
                <w:noProof/>
              </w:rPr>
              <w:t>Out-of-State State Students</w:t>
            </w:r>
            <w:r w:rsidR="00BE78C6">
              <w:rPr>
                <w:noProof/>
                <w:webHidden/>
              </w:rPr>
              <w:tab/>
            </w:r>
            <w:r w:rsidR="00BE78C6">
              <w:rPr>
                <w:noProof/>
                <w:webHidden/>
              </w:rPr>
              <w:fldChar w:fldCharType="begin"/>
            </w:r>
            <w:r w:rsidR="00BE78C6">
              <w:rPr>
                <w:noProof/>
                <w:webHidden/>
              </w:rPr>
              <w:instrText xml:space="preserve"> PAGEREF _Toc506217428 \h </w:instrText>
            </w:r>
            <w:r w:rsidR="00BE78C6">
              <w:rPr>
                <w:noProof/>
                <w:webHidden/>
              </w:rPr>
            </w:r>
            <w:r w:rsidR="00BE78C6">
              <w:rPr>
                <w:noProof/>
                <w:webHidden/>
              </w:rPr>
              <w:fldChar w:fldCharType="separate"/>
            </w:r>
            <w:r w:rsidR="00BE78C6">
              <w:rPr>
                <w:noProof/>
                <w:webHidden/>
              </w:rPr>
              <w:t>46</w:t>
            </w:r>
            <w:r w:rsidR="00BE78C6">
              <w:rPr>
                <w:noProof/>
                <w:webHidden/>
              </w:rPr>
              <w:fldChar w:fldCharType="end"/>
            </w:r>
          </w:hyperlink>
        </w:p>
        <w:p w14:paraId="5F08B876" w14:textId="77777777" w:rsidR="00BE78C6" w:rsidRDefault="002A5133">
          <w:pPr>
            <w:pStyle w:val="TOC2"/>
            <w:tabs>
              <w:tab w:val="right" w:leader="hyphen" w:pos="11136"/>
            </w:tabs>
            <w:rPr>
              <w:rFonts w:eastAsiaTheme="minorEastAsia"/>
              <w:b w:val="0"/>
              <w:bCs w:val="0"/>
              <w:noProof/>
              <w:sz w:val="22"/>
              <w:szCs w:val="22"/>
            </w:rPr>
          </w:pPr>
          <w:hyperlink w:anchor="_Toc506217429" w:history="1">
            <w:r w:rsidR="00BE78C6" w:rsidRPr="00A221D7">
              <w:rPr>
                <w:rStyle w:val="Hyperlink"/>
                <w:noProof/>
              </w:rPr>
              <w:t>Actions in the Area of Student Outreach and Responsiveness to the Community</w:t>
            </w:r>
            <w:r w:rsidR="00BE78C6">
              <w:rPr>
                <w:noProof/>
                <w:webHidden/>
              </w:rPr>
              <w:tab/>
            </w:r>
            <w:r w:rsidR="00BE78C6">
              <w:rPr>
                <w:noProof/>
                <w:webHidden/>
              </w:rPr>
              <w:fldChar w:fldCharType="begin"/>
            </w:r>
            <w:r w:rsidR="00BE78C6">
              <w:rPr>
                <w:noProof/>
                <w:webHidden/>
              </w:rPr>
              <w:instrText xml:space="preserve"> PAGEREF _Toc506217429 \h </w:instrText>
            </w:r>
            <w:r w:rsidR="00BE78C6">
              <w:rPr>
                <w:noProof/>
                <w:webHidden/>
              </w:rPr>
            </w:r>
            <w:r w:rsidR="00BE78C6">
              <w:rPr>
                <w:noProof/>
                <w:webHidden/>
              </w:rPr>
              <w:fldChar w:fldCharType="separate"/>
            </w:r>
            <w:r w:rsidR="00BE78C6">
              <w:rPr>
                <w:noProof/>
                <w:webHidden/>
              </w:rPr>
              <w:t>47</w:t>
            </w:r>
            <w:r w:rsidR="00BE78C6">
              <w:rPr>
                <w:noProof/>
                <w:webHidden/>
              </w:rPr>
              <w:fldChar w:fldCharType="end"/>
            </w:r>
          </w:hyperlink>
        </w:p>
        <w:p w14:paraId="6C996174"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430" w:history="1">
            <w:r w:rsidR="00BE78C6" w:rsidRPr="00A221D7">
              <w:rPr>
                <w:rStyle w:val="Hyperlink"/>
                <w:rFonts w:eastAsia="Calibri"/>
                <w:noProof/>
              </w:rPr>
              <w:t>CHAPTER III: FACULTY, STAFF AND ADMINISTRATORS/MANAGERS</w:t>
            </w:r>
            <w:r w:rsidR="00BE78C6">
              <w:rPr>
                <w:noProof/>
                <w:webHidden/>
              </w:rPr>
              <w:tab/>
            </w:r>
            <w:r w:rsidR="00BE78C6">
              <w:rPr>
                <w:noProof/>
                <w:webHidden/>
              </w:rPr>
              <w:fldChar w:fldCharType="begin"/>
            </w:r>
            <w:r w:rsidR="00BE78C6">
              <w:rPr>
                <w:noProof/>
                <w:webHidden/>
              </w:rPr>
              <w:instrText xml:space="preserve"> PAGEREF _Toc506217430 \h </w:instrText>
            </w:r>
            <w:r w:rsidR="00BE78C6">
              <w:rPr>
                <w:noProof/>
                <w:webHidden/>
              </w:rPr>
            </w:r>
            <w:r w:rsidR="00BE78C6">
              <w:rPr>
                <w:noProof/>
                <w:webHidden/>
              </w:rPr>
              <w:fldChar w:fldCharType="separate"/>
            </w:r>
            <w:r w:rsidR="00BE78C6">
              <w:rPr>
                <w:noProof/>
                <w:webHidden/>
              </w:rPr>
              <w:t>53</w:t>
            </w:r>
            <w:r w:rsidR="00BE78C6">
              <w:rPr>
                <w:noProof/>
                <w:webHidden/>
              </w:rPr>
              <w:fldChar w:fldCharType="end"/>
            </w:r>
          </w:hyperlink>
        </w:p>
        <w:p w14:paraId="533C9022" w14:textId="77777777" w:rsidR="00BE78C6" w:rsidRDefault="002A5133">
          <w:pPr>
            <w:pStyle w:val="TOC2"/>
            <w:tabs>
              <w:tab w:val="right" w:leader="hyphen" w:pos="11136"/>
            </w:tabs>
            <w:rPr>
              <w:rFonts w:eastAsiaTheme="minorEastAsia"/>
              <w:b w:val="0"/>
              <w:bCs w:val="0"/>
              <w:noProof/>
              <w:sz w:val="22"/>
              <w:szCs w:val="22"/>
            </w:rPr>
          </w:pPr>
          <w:hyperlink w:anchor="_Toc506217431" w:history="1">
            <w:r w:rsidR="00BE78C6" w:rsidRPr="00A221D7">
              <w:rPr>
                <w:rStyle w:val="Hyperlink"/>
                <w:noProof/>
              </w:rPr>
              <w:t>Permanent Faculty, Staff and Administrators/Managers</w:t>
            </w:r>
            <w:r w:rsidR="00BE78C6">
              <w:rPr>
                <w:noProof/>
                <w:webHidden/>
              </w:rPr>
              <w:tab/>
            </w:r>
            <w:r w:rsidR="00BE78C6">
              <w:rPr>
                <w:noProof/>
                <w:webHidden/>
              </w:rPr>
              <w:fldChar w:fldCharType="begin"/>
            </w:r>
            <w:r w:rsidR="00BE78C6">
              <w:rPr>
                <w:noProof/>
                <w:webHidden/>
              </w:rPr>
              <w:instrText xml:space="preserve"> PAGEREF _Toc506217431 \h </w:instrText>
            </w:r>
            <w:r w:rsidR="00BE78C6">
              <w:rPr>
                <w:noProof/>
                <w:webHidden/>
              </w:rPr>
            </w:r>
            <w:r w:rsidR="00BE78C6">
              <w:rPr>
                <w:noProof/>
                <w:webHidden/>
              </w:rPr>
              <w:fldChar w:fldCharType="separate"/>
            </w:r>
            <w:r w:rsidR="00BE78C6">
              <w:rPr>
                <w:noProof/>
                <w:webHidden/>
              </w:rPr>
              <w:t>53</w:t>
            </w:r>
            <w:r w:rsidR="00BE78C6">
              <w:rPr>
                <w:noProof/>
                <w:webHidden/>
              </w:rPr>
              <w:fldChar w:fldCharType="end"/>
            </w:r>
          </w:hyperlink>
        </w:p>
        <w:p w14:paraId="55723EE5" w14:textId="77777777" w:rsidR="00BE78C6" w:rsidRDefault="002A5133">
          <w:pPr>
            <w:pStyle w:val="TOC2"/>
            <w:tabs>
              <w:tab w:val="right" w:leader="hyphen" w:pos="11136"/>
            </w:tabs>
            <w:rPr>
              <w:rFonts w:eastAsiaTheme="minorEastAsia"/>
              <w:b w:val="0"/>
              <w:bCs w:val="0"/>
              <w:noProof/>
              <w:sz w:val="22"/>
              <w:szCs w:val="22"/>
            </w:rPr>
          </w:pPr>
          <w:hyperlink w:anchor="_Toc506217432" w:history="1">
            <w:r w:rsidR="00BE78C6" w:rsidRPr="00A221D7">
              <w:rPr>
                <w:rStyle w:val="Hyperlink"/>
                <w:noProof/>
              </w:rPr>
              <w:t>Gender Composition of Permanent Faculty, Classified Staff and Administrators/Managers</w:t>
            </w:r>
            <w:r w:rsidR="00BE78C6">
              <w:rPr>
                <w:noProof/>
                <w:webHidden/>
              </w:rPr>
              <w:tab/>
            </w:r>
            <w:r w:rsidR="00BE78C6">
              <w:rPr>
                <w:noProof/>
                <w:webHidden/>
              </w:rPr>
              <w:fldChar w:fldCharType="begin"/>
            </w:r>
            <w:r w:rsidR="00BE78C6">
              <w:rPr>
                <w:noProof/>
                <w:webHidden/>
              </w:rPr>
              <w:instrText xml:space="preserve"> PAGEREF _Toc506217432 \h </w:instrText>
            </w:r>
            <w:r w:rsidR="00BE78C6">
              <w:rPr>
                <w:noProof/>
                <w:webHidden/>
              </w:rPr>
            </w:r>
            <w:r w:rsidR="00BE78C6">
              <w:rPr>
                <w:noProof/>
                <w:webHidden/>
              </w:rPr>
              <w:fldChar w:fldCharType="separate"/>
            </w:r>
            <w:r w:rsidR="00BE78C6">
              <w:rPr>
                <w:noProof/>
                <w:webHidden/>
              </w:rPr>
              <w:t>54</w:t>
            </w:r>
            <w:r w:rsidR="00BE78C6">
              <w:rPr>
                <w:noProof/>
                <w:webHidden/>
              </w:rPr>
              <w:fldChar w:fldCharType="end"/>
            </w:r>
          </w:hyperlink>
        </w:p>
        <w:p w14:paraId="1AE3A92A" w14:textId="77777777" w:rsidR="00BE78C6" w:rsidRDefault="002A5133">
          <w:pPr>
            <w:pStyle w:val="TOC2"/>
            <w:tabs>
              <w:tab w:val="right" w:leader="hyphen" w:pos="11136"/>
            </w:tabs>
            <w:rPr>
              <w:rFonts w:eastAsiaTheme="minorEastAsia"/>
              <w:b w:val="0"/>
              <w:bCs w:val="0"/>
              <w:noProof/>
              <w:sz w:val="22"/>
              <w:szCs w:val="22"/>
            </w:rPr>
          </w:pPr>
          <w:hyperlink w:anchor="_Toc506217433" w:history="1">
            <w:r w:rsidR="00BE78C6" w:rsidRPr="00A221D7">
              <w:rPr>
                <w:rStyle w:val="Hyperlink"/>
                <w:noProof/>
              </w:rPr>
              <w:t>Ethnic Composition of Permanent Faculty, Classified Staff and Administrators/Managers</w:t>
            </w:r>
            <w:r w:rsidR="00BE78C6">
              <w:rPr>
                <w:noProof/>
                <w:webHidden/>
              </w:rPr>
              <w:tab/>
            </w:r>
            <w:r w:rsidR="00BE78C6">
              <w:rPr>
                <w:noProof/>
                <w:webHidden/>
              </w:rPr>
              <w:fldChar w:fldCharType="begin"/>
            </w:r>
            <w:r w:rsidR="00BE78C6">
              <w:rPr>
                <w:noProof/>
                <w:webHidden/>
              </w:rPr>
              <w:instrText xml:space="preserve"> PAGEREF _Toc506217433 \h </w:instrText>
            </w:r>
            <w:r w:rsidR="00BE78C6">
              <w:rPr>
                <w:noProof/>
                <w:webHidden/>
              </w:rPr>
            </w:r>
            <w:r w:rsidR="00BE78C6">
              <w:rPr>
                <w:noProof/>
                <w:webHidden/>
              </w:rPr>
              <w:fldChar w:fldCharType="separate"/>
            </w:r>
            <w:r w:rsidR="00BE78C6">
              <w:rPr>
                <w:noProof/>
                <w:webHidden/>
              </w:rPr>
              <w:t>55</w:t>
            </w:r>
            <w:r w:rsidR="00BE78C6">
              <w:rPr>
                <w:noProof/>
                <w:webHidden/>
              </w:rPr>
              <w:fldChar w:fldCharType="end"/>
            </w:r>
          </w:hyperlink>
        </w:p>
        <w:p w14:paraId="2ADD7F29" w14:textId="77777777" w:rsidR="00BE78C6" w:rsidRDefault="002A5133">
          <w:pPr>
            <w:pStyle w:val="TOC2"/>
            <w:tabs>
              <w:tab w:val="right" w:leader="hyphen" w:pos="11136"/>
            </w:tabs>
            <w:rPr>
              <w:rFonts w:eastAsiaTheme="minorEastAsia"/>
              <w:b w:val="0"/>
              <w:bCs w:val="0"/>
              <w:noProof/>
              <w:sz w:val="22"/>
              <w:szCs w:val="22"/>
            </w:rPr>
          </w:pPr>
          <w:hyperlink w:anchor="_Toc506217434" w:history="1">
            <w:r w:rsidR="00BE78C6" w:rsidRPr="00A221D7">
              <w:rPr>
                <w:rStyle w:val="Hyperlink"/>
                <w:noProof/>
              </w:rPr>
              <w:t>Actions in the Area of Permanent Faculty, Classified Staff and Administrators/Managers</w:t>
            </w:r>
            <w:r w:rsidR="00BE78C6">
              <w:rPr>
                <w:noProof/>
                <w:webHidden/>
              </w:rPr>
              <w:tab/>
            </w:r>
            <w:r w:rsidR="00BE78C6">
              <w:rPr>
                <w:noProof/>
                <w:webHidden/>
              </w:rPr>
              <w:fldChar w:fldCharType="begin"/>
            </w:r>
            <w:r w:rsidR="00BE78C6">
              <w:rPr>
                <w:noProof/>
                <w:webHidden/>
              </w:rPr>
              <w:instrText xml:space="preserve"> PAGEREF _Toc506217434 \h </w:instrText>
            </w:r>
            <w:r w:rsidR="00BE78C6">
              <w:rPr>
                <w:noProof/>
                <w:webHidden/>
              </w:rPr>
            </w:r>
            <w:r w:rsidR="00BE78C6">
              <w:rPr>
                <w:noProof/>
                <w:webHidden/>
              </w:rPr>
              <w:fldChar w:fldCharType="separate"/>
            </w:r>
            <w:r w:rsidR="00BE78C6">
              <w:rPr>
                <w:noProof/>
                <w:webHidden/>
              </w:rPr>
              <w:t>56</w:t>
            </w:r>
            <w:r w:rsidR="00BE78C6">
              <w:rPr>
                <w:noProof/>
                <w:webHidden/>
              </w:rPr>
              <w:fldChar w:fldCharType="end"/>
            </w:r>
          </w:hyperlink>
        </w:p>
        <w:p w14:paraId="0E6405A4"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435" w:history="1">
            <w:r w:rsidR="00BE78C6" w:rsidRPr="00A221D7">
              <w:rPr>
                <w:rStyle w:val="Hyperlink"/>
                <w:noProof/>
              </w:rPr>
              <w:t>CHAPTER IV: FISCAL SUPPORT</w:t>
            </w:r>
            <w:r w:rsidR="00BE78C6">
              <w:rPr>
                <w:noProof/>
                <w:webHidden/>
              </w:rPr>
              <w:tab/>
            </w:r>
            <w:r w:rsidR="00BE78C6">
              <w:rPr>
                <w:noProof/>
                <w:webHidden/>
              </w:rPr>
              <w:fldChar w:fldCharType="begin"/>
            </w:r>
            <w:r w:rsidR="00BE78C6">
              <w:rPr>
                <w:noProof/>
                <w:webHidden/>
              </w:rPr>
              <w:instrText xml:space="preserve"> PAGEREF _Toc506217435 \h </w:instrText>
            </w:r>
            <w:r w:rsidR="00BE78C6">
              <w:rPr>
                <w:noProof/>
                <w:webHidden/>
              </w:rPr>
            </w:r>
            <w:r w:rsidR="00BE78C6">
              <w:rPr>
                <w:noProof/>
                <w:webHidden/>
              </w:rPr>
              <w:fldChar w:fldCharType="separate"/>
            </w:r>
            <w:r w:rsidR="00BE78C6">
              <w:rPr>
                <w:noProof/>
                <w:webHidden/>
              </w:rPr>
              <w:t>57</w:t>
            </w:r>
            <w:r w:rsidR="00BE78C6">
              <w:rPr>
                <w:noProof/>
                <w:webHidden/>
              </w:rPr>
              <w:fldChar w:fldCharType="end"/>
            </w:r>
          </w:hyperlink>
        </w:p>
        <w:p w14:paraId="2E390B78" w14:textId="77777777" w:rsidR="00BE78C6" w:rsidRDefault="002A5133">
          <w:pPr>
            <w:pStyle w:val="TOC2"/>
            <w:tabs>
              <w:tab w:val="right" w:leader="hyphen" w:pos="11136"/>
            </w:tabs>
            <w:rPr>
              <w:rFonts w:eastAsiaTheme="minorEastAsia"/>
              <w:b w:val="0"/>
              <w:bCs w:val="0"/>
              <w:noProof/>
              <w:sz w:val="22"/>
              <w:szCs w:val="22"/>
            </w:rPr>
          </w:pPr>
          <w:hyperlink w:anchor="_Toc506217436" w:history="1">
            <w:r w:rsidR="00BE78C6" w:rsidRPr="00A221D7">
              <w:rPr>
                <w:rStyle w:val="Hyperlink"/>
                <w:noProof/>
              </w:rPr>
              <w:t>State General Apportionment as a Percentage of Total Revenues</w:t>
            </w:r>
            <w:r w:rsidR="00BE78C6">
              <w:rPr>
                <w:noProof/>
                <w:webHidden/>
              </w:rPr>
              <w:tab/>
            </w:r>
            <w:r w:rsidR="00BE78C6">
              <w:rPr>
                <w:noProof/>
                <w:webHidden/>
              </w:rPr>
              <w:fldChar w:fldCharType="begin"/>
            </w:r>
            <w:r w:rsidR="00BE78C6">
              <w:rPr>
                <w:noProof/>
                <w:webHidden/>
              </w:rPr>
              <w:instrText xml:space="preserve"> PAGEREF _Toc506217436 \h </w:instrText>
            </w:r>
            <w:r w:rsidR="00BE78C6">
              <w:rPr>
                <w:noProof/>
                <w:webHidden/>
              </w:rPr>
            </w:r>
            <w:r w:rsidR="00BE78C6">
              <w:rPr>
                <w:noProof/>
                <w:webHidden/>
              </w:rPr>
              <w:fldChar w:fldCharType="separate"/>
            </w:r>
            <w:r w:rsidR="00BE78C6">
              <w:rPr>
                <w:noProof/>
                <w:webHidden/>
              </w:rPr>
              <w:t>57</w:t>
            </w:r>
            <w:r w:rsidR="00BE78C6">
              <w:rPr>
                <w:noProof/>
                <w:webHidden/>
              </w:rPr>
              <w:fldChar w:fldCharType="end"/>
            </w:r>
          </w:hyperlink>
        </w:p>
        <w:p w14:paraId="5D79B87C" w14:textId="77777777" w:rsidR="00BE78C6" w:rsidRDefault="002A5133">
          <w:pPr>
            <w:pStyle w:val="TOC2"/>
            <w:tabs>
              <w:tab w:val="right" w:leader="hyphen" w:pos="11136"/>
            </w:tabs>
            <w:rPr>
              <w:rFonts w:eastAsiaTheme="minorEastAsia"/>
              <w:b w:val="0"/>
              <w:bCs w:val="0"/>
              <w:noProof/>
              <w:sz w:val="22"/>
              <w:szCs w:val="22"/>
            </w:rPr>
          </w:pPr>
          <w:hyperlink w:anchor="_Toc506217437" w:history="1">
            <w:r w:rsidR="00BE78C6" w:rsidRPr="00A221D7">
              <w:rPr>
                <w:rStyle w:val="Hyperlink"/>
                <w:noProof/>
              </w:rPr>
              <w:t>Restricted Revenues as a Percentage of Total Revenues (Unrestricted and Restricted)</w:t>
            </w:r>
            <w:r w:rsidR="00BE78C6">
              <w:rPr>
                <w:noProof/>
                <w:webHidden/>
              </w:rPr>
              <w:tab/>
            </w:r>
            <w:r w:rsidR="00BE78C6">
              <w:rPr>
                <w:noProof/>
                <w:webHidden/>
              </w:rPr>
              <w:fldChar w:fldCharType="begin"/>
            </w:r>
            <w:r w:rsidR="00BE78C6">
              <w:rPr>
                <w:noProof/>
                <w:webHidden/>
              </w:rPr>
              <w:instrText xml:space="preserve"> PAGEREF _Toc506217437 \h </w:instrText>
            </w:r>
            <w:r w:rsidR="00BE78C6">
              <w:rPr>
                <w:noProof/>
                <w:webHidden/>
              </w:rPr>
            </w:r>
            <w:r w:rsidR="00BE78C6">
              <w:rPr>
                <w:noProof/>
                <w:webHidden/>
              </w:rPr>
              <w:fldChar w:fldCharType="separate"/>
            </w:r>
            <w:r w:rsidR="00BE78C6">
              <w:rPr>
                <w:noProof/>
                <w:webHidden/>
              </w:rPr>
              <w:t>57</w:t>
            </w:r>
            <w:r w:rsidR="00BE78C6">
              <w:rPr>
                <w:noProof/>
                <w:webHidden/>
              </w:rPr>
              <w:fldChar w:fldCharType="end"/>
            </w:r>
          </w:hyperlink>
        </w:p>
        <w:p w14:paraId="21A7483D" w14:textId="77777777" w:rsidR="00BE78C6" w:rsidRDefault="002A5133">
          <w:pPr>
            <w:pStyle w:val="TOC2"/>
            <w:tabs>
              <w:tab w:val="right" w:leader="hyphen" w:pos="11136"/>
            </w:tabs>
            <w:rPr>
              <w:rFonts w:eastAsiaTheme="minorEastAsia"/>
              <w:b w:val="0"/>
              <w:bCs w:val="0"/>
              <w:noProof/>
              <w:sz w:val="22"/>
              <w:szCs w:val="22"/>
            </w:rPr>
          </w:pPr>
          <w:hyperlink w:anchor="_Toc506217438" w:history="1">
            <w:r w:rsidR="00BE78C6" w:rsidRPr="00A221D7">
              <w:rPr>
                <w:rStyle w:val="Hyperlink"/>
                <w:noProof/>
              </w:rPr>
              <w:t>Salaries and Fringe Benefits</w:t>
            </w:r>
            <w:r w:rsidR="00BE78C6">
              <w:rPr>
                <w:noProof/>
                <w:webHidden/>
              </w:rPr>
              <w:tab/>
            </w:r>
            <w:r w:rsidR="00BE78C6">
              <w:rPr>
                <w:noProof/>
                <w:webHidden/>
              </w:rPr>
              <w:fldChar w:fldCharType="begin"/>
            </w:r>
            <w:r w:rsidR="00BE78C6">
              <w:rPr>
                <w:noProof/>
                <w:webHidden/>
              </w:rPr>
              <w:instrText xml:space="preserve"> PAGEREF _Toc506217438 \h </w:instrText>
            </w:r>
            <w:r w:rsidR="00BE78C6">
              <w:rPr>
                <w:noProof/>
                <w:webHidden/>
              </w:rPr>
            </w:r>
            <w:r w:rsidR="00BE78C6">
              <w:rPr>
                <w:noProof/>
                <w:webHidden/>
              </w:rPr>
              <w:fldChar w:fldCharType="separate"/>
            </w:r>
            <w:r w:rsidR="00BE78C6">
              <w:rPr>
                <w:noProof/>
                <w:webHidden/>
              </w:rPr>
              <w:t>58</w:t>
            </w:r>
            <w:r w:rsidR="00BE78C6">
              <w:rPr>
                <w:noProof/>
                <w:webHidden/>
              </w:rPr>
              <w:fldChar w:fldCharType="end"/>
            </w:r>
          </w:hyperlink>
        </w:p>
        <w:p w14:paraId="298B01CF" w14:textId="77777777" w:rsidR="00BE78C6" w:rsidRDefault="002A5133">
          <w:pPr>
            <w:pStyle w:val="TOC2"/>
            <w:tabs>
              <w:tab w:val="right" w:leader="hyphen" w:pos="11136"/>
            </w:tabs>
            <w:rPr>
              <w:rFonts w:eastAsiaTheme="minorEastAsia"/>
              <w:b w:val="0"/>
              <w:bCs w:val="0"/>
              <w:noProof/>
              <w:sz w:val="22"/>
              <w:szCs w:val="22"/>
            </w:rPr>
          </w:pPr>
          <w:hyperlink w:anchor="_Toc506217439" w:history="1">
            <w:r w:rsidR="00BE78C6" w:rsidRPr="00A221D7">
              <w:rPr>
                <w:rStyle w:val="Hyperlink"/>
                <w:noProof/>
              </w:rPr>
              <w:t>Unrestricted General Fund: Salaries and Benefits</w:t>
            </w:r>
            <w:r w:rsidR="00BE78C6">
              <w:rPr>
                <w:noProof/>
                <w:webHidden/>
              </w:rPr>
              <w:tab/>
            </w:r>
            <w:r w:rsidR="00BE78C6">
              <w:rPr>
                <w:noProof/>
                <w:webHidden/>
              </w:rPr>
              <w:fldChar w:fldCharType="begin"/>
            </w:r>
            <w:r w:rsidR="00BE78C6">
              <w:rPr>
                <w:noProof/>
                <w:webHidden/>
              </w:rPr>
              <w:instrText xml:space="preserve"> PAGEREF _Toc506217439 \h </w:instrText>
            </w:r>
            <w:r w:rsidR="00BE78C6">
              <w:rPr>
                <w:noProof/>
                <w:webHidden/>
              </w:rPr>
            </w:r>
            <w:r w:rsidR="00BE78C6">
              <w:rPr>
                <w:noProof/>
                <w:webHidden/>
              </w:rPr>
              <w:fldChar w:fldCharType="separate"/>
            </w:r>
            <w:r w:rsidR="00BE78C6">
              <w:rPr>
                <w:noProof/>
                <w:webHidden/>
              </w:rPr>
              <w:t>58</w:t>
            </w:r>
            <w:r w:rsidR="00BE78C6">
              <w:rPr>
                <w:noProof/>
                <w:webHidden/>
              </w:rPr>
              <w:fldChar w:fldCharType="end"/>
            </w:r>
          </w:hyperlink>
        </w:p>
        <w:p w14:paraId="54D13E23" w14:textId="77777777" w:rsidR="00BE78C6" w:rsidRDefault="002A5133">
          <w:pPr>
            <w:pStyle w:val="TOC2"/>
            <w:tabs>
              <w:tab w:val="right" w:leader="hyphen" w:pos="11136"/>
            </w:tabs>
            <w:rPr>
              <w:rFonts w:eastAsiaTheme="minorEastAsia"/>
              <w:b w:val="0"/>
              <w:bCs w:val="0"/>
              <w:noProof/>
              <w:sz w:val="22"/>
              <w:szCs w:val="22"/>
            </w:rPr>
          </w:pPr>
          <w:hyperlink w:anchor="_Toc506217440" w:history="1">
            <w:r w:rsidR="00BE78C6" w:rsidRPr="00A221D7">
              <w:rPr>
                <w:rStyle w:val="Hyperlink"/>
                <w:noProof/>
              </w:rPr>
              <w:t>Unrestricted General Fund: Fixed Costs</w:t>
            </w:r>
            <w:r w:rsidR="00BE78C6">
              <w:rPr>
                <w:noProof/>
                <w:webHidden/>
              </w:rPr>
              <w:tab/>
            </w:r>
            <w:r w:rsidR="00BE78C6">
              <w:rPr>
                <w:noProof/>
                <w:webHidden/>
              </w:rPr>
              <w:fldChar w:fldCharType="begin"/>
            </w:r>
            <w:r w:rsidR="00BE78C6">
              <w:rPr>
                <w:noProof/>
                <w:webHidden/>
              </w:rPr>
              <w:instrText xml:space="preserve"> PAGEREF _Toc506217440 \h </w:instrText>
            </w:r>
            <w:r w:rsidR="00BE78C6">
              <w:rPr>
                <w:noProof/>
                <w:webHidden/>
              </w:rPr>
            </w:r>
            <w:r w:rsidR="00BE78C6">
              <w:rPr>
                <w:noProof/>
                <w:webHidden/>
              </w:rPr>
              <w:fldChar w:fldCharType="separate"/>
            </w:r>
            <w:r w:rsidR="00BE78C6">
              <w:rPr>
                <w:noProof/>
                <w:webHidden/>
              </w:rPr>
              <w:t>59</w:t>
            </w:r>
            <w:r w:rsidR="00BE78C6">
              <w:rPr>
                <w:noProof/>
                <w:webHidden/>
              </w:rPr>
              <w:fldChar w:fldCharType="end"/>
            </w:r>
          </w:hyperlink>
        </w:p>
        <w:p w14:paraId="7A4999AE" w14:textId="77777777" w:rsidR="00BE78C6" w:rsidRDefault="002A5133">
          <w:pPr>
            <w:pStyle w:val="TOC2"/>
            <w:tabs>
              <w:tab w:val="right" w:leader="hyphen" w:pos="11136"/>
            </w:tabs>
            <w:rPr>
              <w:rFonts w:eastAsiaTheme="minorEastAsia"/>
              <w:b w:val="0"/>
              <w:bCs w:val="0"/>
              <w:noProof/>
              <w:sz w:val="22"/>
              <w:szCs w:val="22"/>
            </w:rPr>
          </w:pPr>
          <w:hyperlink w:anchor="_Toc506217441" w:history="1">
            <w:r w:rsidR="00BE78C6" w:rsidRPr="00A221D7">
              <w:rPr>
                <w:rStyle w:val="Hyperlink"/>
                <w:noProof/>
              </w:rPr>
              <w:t>Unrestricted General Fund: Salaries, Benefits and Fixed Costs</w:t>
            </w:r>
            <w:r w:rsidR="00BE78C6">
              <w:rPr>
                <w:noProof/>
                <w:webHidden/>
              </w:rPr>
              <w:tab/>
            </w:r>
            <w:r w:rsidR="00BE78C6">
              <w:rPr>
                <w:noProof/>
                <w:webHidden/>
              </w:rPr>
              <w:fldChar w:fldCharType="begin"/>
            </w:r>
            <w:r w:rsidR="00BE78C6">
              <w:rPr>
                <w:noProof/>
                <w:webHidden/>
              </w:rPr>
              <w:instrText xml:space="preserve"> PAGEREF _Toc506217441 \h </w:instrText>
            </w:r>
            <w:r w:rsidR="00BE78C6">
              <w:rPr>
                <w:noProof/>
                <w:webHidden/>
              </w:rPr>
            </w:r>
            <w:r w:rsidR="00BE78C6">
              <w:rPr>
                <w:noProof/>
                <w:webHidden/>
              </w:rPr>
              <w:fldChar w:fldCharType="separate"/>
            </w:r>
            <w:r w:rsidR="00BE78C6">
              <w:rPr>
                <w:noProof/>
                <w:webHidden/>
              </w:rPr>
              <w:t>60</w:t>
            </w:r>
            <w:r w:rsidR="00BE78C6">
              <w:rPr>
                <w:noProof/>
                <w:webHidden/>
              </w:rPr>
              <w:fldChar w:fldCharType="end"/>
            </w:r>
          </w:hyperlink>
        </w:p>
        <w:p w14:paraId="7499A7A9" w14:textId="77777777" w:rsidR="00BE78C6" w:rsidRDefault="002A5133">
          <w:pPr>
            <w:pStyle w:val="TOC2"/>
            <w:tabs>
              <w:tab w:val="right" w:leader="hyphen" w:pos="11136"/>
            </w:tabs>
            <w:rPr>
              <w:rFonts w:eastAsiaTheme="minorEastAsia"/>
              <w:b w:val="0"/>
              <w:bCs w:val="0"/>
              <w:noProof/>
              <w:sz w:val="22"/>
              <w:szCs w:val="22"/>
            </w:rPr>
          </w:pPr>
          <w:hyperlink w:anchor="_Toc506217442" w:history="1">
            <w:r w:rsidR="00BE78C6" w:rsidRPr="00A221D7">
              <w:rPr>
                <w:rStyle w:val="Hyperlink"/>
                <w:noProof/>
              </w:rPr>
              <w:t>State Cost of Living Adjustment (COLA) versus Consumer Price Index (CPI) Increases</w:t>
            </w:r>
            <w:r w:rsidR="00BE78C6">
              <w:rPr>
                <w:noProof/>
                <w:webHidden/>
              </w:rPr>
              <w:tab/>
            </w:r>
            <w:r w:rsidR="00BE78C6">
              <w:rPr>
                <w:noProof/>
                <w:webHidden/>
              </w:rPr>
              <w:fldChar w:fldCharType="begin"/>
            </w:r>
            <w:r w:rsidR="00BE78C6">
              <w:rPr>
                <w:noProof/>
                <w:webHidden/>
              </w:rPr>
              <w:instrText xml:space="preserve"> PAGEREF _Toc506217442 \h </w:instrText>
            </w:r>
            <w:r w:rsidR="00BE78C6">
              <w:rPr>
                <w:noProof/>
                <w:webHidden/>
              </w:rPr>
            </w:r>
            <w:r w:rsidR="00BE78C6">
              <w:rPr>
                <w:noProof/>
                <w:webHidden/>
              </w:rPr>
              <w:fldChar w:fldCharType="separate"/>
            </w:r>
            <w:r w:rsidR="00BE78C6">
              <w:rPr>
                <w:noProof/>
                <w:webHidden/>
              </w:rPr>
              <w:t>61</w:t>
            </w:r>
            <w:r w:rsidR="00BE78C6">
              <w:rPr>
                <w:noProof/>
                <w:webHidden/>
              </w:rPr>
              <w:fldChar w:fldCharType="end"/>
            </w:r>
          </w:hyperlink>
        </w:p>
        <w:p w14:paraId="45C1FD8C" w14:textId="77777777" w:rsidR="00BE78C6" w:rsidRDefault="002A5133">
          <w:pPr>
            <w:pStyle w:val="TOC2"/>
            <w:tabs>
              <w:tab w:val="right" w:leader="hyphen" w:pos="11136"/>
            </w:tabs>
            <w:rPr>
              <w:rFonts w:eastAsiaTheme="minorEastAsia"/>
              <w:b w:val="0"/>
              <w:bCs w:val="0"/>
              <w:noProof/>
              <w:sz w:val="22"/>
              <w:szCs w:val="22"/>
            </w:rPr>
          </w:pPr>
          <w:hyperlink w:anchor="_Toc506217443" w:history="1">
            <w:r w:rsidR="00BE78C6" w:rsidRPr="00A221D7">
              <w:rPr>
                <w:rStyle w:val="Hyperlink"/>
                <w:noProof/>
              </w:rPr>
              <w:t>Capital Outlay Expenditures</w:t>
            </w:r>
            <w:r w:rsidR="00BE78C6">
              <w:rPr>
                <w:noProof/>
                <w:webHidden/>
              </w:rPr>
              <w:tab/>
            </w:r>
            <w:r w:rsidR="00BE78C6">
              <w:rPr>
                <w:noProof/>
                <w:webHidden/>
              </w:rPr>
              <w:fldChar w:fldCharType="begin"/>
            </w:r>
            <w:r w:rsidR="00BE78C6">
              <w:rPr>
                <w:noProof/>
                <w:webHidden/>
              </w:rPr>
              <w:instrText xml:space="preserve"> PAGEREF _Toc506217443 \h </w:instrText>
            </w:r>
            <w:r w:rsidR="00BE78C6">
              <w:rPr>
                <w:noProof/>
                <w:webHidden/>
              </w:rPr>
            </w:r>
            <w:r w:rsidR="00BE78C6">
              <w:rPr>
                <w:noProof/>
                <w:webHidden/>
              </w:rPr>
              <w:fldChar w:fldCharType="separate"/>
            </w:r>
            <w:r w:rsidR="00BE78C6">
              <w:rPr>
                <w:noProof/>
                <w:webHidden/>
              </w:rPr>
              <w:t>61</w:t>
            </w:r>
            <w:r w:rsidR="00BE78C6">
              <w:rPr>
                <w:noProof/>
                <w:webHidden/>
              </w:rPr>
              <w:fldChar w:fldCharType="end"/>
            </w:r>
          </w:hyperlink>
        </w:p>
        <w:p w14:paraId="3E28C724" w14:textId="77777777" w:rsidR="00BE78C6" w:rsidRDefault="002A5133">
          <w:pPr>
            <w:pStyle w:val="TOC2"/>
            <w:tabs>
              <w:tab w:val="right" w:leader="hyphen" w:pos="11136"/>
            </w:tabs>
            <w:rPr>
              <w:rFonts w:eastAsiaTheme="minorEastAsia"/>
              <w:b w:val="0"/>
              <w:bCs w:val="0"/>
              <w:noProof/>
              <w:sz w:val="22"/>
              <w:szCs w:val="22"/>
            </w:rPr>
          </w:pPr>
          <w:hyperlink w:anchor="_Toc506217444" w:history="1">
            <w:r w:rsidR="00BE78C6" w:rsidRPr="00A221D7">
              <w:rPr>
                <w:rStyle w:val="Hyperlink"/>
                <w:noProof/>
              </w:rPr>
              <w:t>General Fund Balance as a Percentage of Total Unrestricted General Fund Expenses</w:t>
            </w:r>
            <w:r w:rsidR="00BE78C6">
              <w:rPr>
                <w:noProof/>
                <w:webHidden/>
              </w:rPr>
              <w:tab/>
            </w:r>
            <w:r w:rsidR="00BE78C6">
              <w:rPr>
                <w:noProof/>
                <w:webHidden/>
              </w:rPr>
              <w:fldChar w:fldCharType="begin"/>
            </w:r>
            <w:r w:rsidR="00BE78C6">
              <w:rPr>
                <w:noProof/>
                <w:webHidden/>
              </w:rPr>
              <w:instrText xml:space="preserve"> PAGEREF _Toc506217444 \h </w:instrText>
            </w:r>
            <w:r w:rsidR="00BE78C6">
              <w:rPr>
                <w:noProof/>
                <w:webHidden/>
              </w:rPr>
            </w:r>
            <w:r w:rsidR="00BE78C6">
              <w:rPr>
                <w:noProof/>
                <w:webHidden/>
              </w:rPr>
              <w:fldChar w:fldCharType="separate"/>
            </w:r>
            <w:r w:rsidR="00BE78C6">
              <w:rPr>
                <w:noProof/>
                <w:webHidden/>
              </w:rPr>
              <w:t>62</w:t>
            </w:r>
            <w:r w:rsidR="00BE78C6">
              <w:rPr>
                <w:noProof/>
                <w:webHidden/>
              </w:rPr>
              <w:fldChar w:fldCharType="end"/>
            </w:r>
          </w:hyperlink>
        </w:p>
        <w:p w14:paraId="3D6C7D68" w14:textId="77777777" w:rsidR="00BE78C6" w:rsidRDefault="002A5133">
          <w:pPr>
            <w:pStyle w:val="TOC2"/>
            <w:tabs>
              <w:tab w:val="right" w:leader="hyphen" w:pos="11136"/>
            </w:tabs>
            <w:rPr>
              <w:rFonts w:eastAsiaTheme="minorEastAsia"/>
              <w:b w:val="0"/>
              <w:bCs w:val="0"/>
              <w:noProof/>
              <w:sz w:val="22"/>
              <w:szCs w:val="22"/>
            </w:rPr>
          </w:pPr>
          <w:hyperlink w:anchor="_Toc506217445" w:history="1">
            <w:r w:rsidR="00BE78C6" w:rsidRPr="00A221D7">
              <w:rPr>
                <w:rStyle w:val="Hyperlink"/>
                <w:noProof/>
              </w:rPr>
              <w:t>Actions in the Area of Fiscal Support</w:t>
            </w:r>
            <w:r w:rsidR="00BE78C6">
              <w:rPr>
                <w:noProof/>
                <w:webHidden/>
              </w:rPr>
              <w:tab/>
            </w:r>
            <w:r w:rsidR="00BE78C6">
              <w:rPr>
                <w:noProof/>
                <w:webHidden/>
              </w:rPr>
              <w:fldChar w:fldCharType="begin"/>
            </w:r>
            <w:r w:rsidR="00BE78C6">
              <w:rPr>
                <w:noProof/>
                <w:webHidden/>
              </w:rPr>
              <w:instrText xml:space="preserve"> PAGEREF _Toc506217445 \h </w:instrText>
            </w:r>
            <w:r w:rsidR="00BE78C6">
              <w:rPr>
                <w:noProof/>
                <w:webHidden/>
              </w:rPr>
            </w:r>
            <w:r w:rsidR="00BE78C6">
              <w:rPr>
                <w:noProof/>
                <w:webHidden/>
              </w:rPr>
              <w:fldChar w:fldCharType="separate"/>
            </w:r>
            <w:r w:rsidR="00BE78C6">
              <w:rPr>
                <w:noProof/>
                <w:webHidden/>
              </w:rPr>
              <w:t>62</w:t>
            </w:r>
            <w:r w:rsidR="00BE78C6">
              <w:rPr>
                <w:noProof/>
                <w:webHidden/>
              </w:rPr>
              <w:fldChar w:fldCharType="end"/>
            </w:r>
          </w:hyperlink>
        </w:p>
        <w:p w14:paraId="0613C3A5" w14:textId="77777777" w:rsidR="00BE78C6" w:rsidRDefault="002A5133">
          <w:pPr>
            <w:pStyle w:val="TOC1"/>
            <w:tabs>
              <w:tab w:val="right" w:leader="hyphen" w:pos="11136"/>
            </w:tabs>
            <w:rPr>
              <w:rFonts w:asciiTheme="minorHAnsi" w:eastAsiaTheme="minorEastAsia" w:hAnsiTheme="minorHAnsi"/>
              <w:b w:val="0"/>
              <w:bCs w:val="0"/>
              <w:caps w:val="0"/>
              <w:noProof/>
              <w:sz w:val="22"/>
              <w:szCs w:val="22"/>
            </w:rPr>
          </w:pPr>
          <w:hyperlink w:anchor="_Toc506217446" w:history="1">
            <w:r w:rsidR="00BE78C6" w:rsidRPr="00A221D7">
              <w:rPr>
                <w:rStyle w:val="Hyperlink"/>
                <w:noProof/>
              </w:rPr>
              <w:t>CHAPTER V: FACILITIES</w:t>
            </w:r>
            <w:r w:rsidR="00BE78C6">
              <w:rPr>
                <w:noProof/>
                <w:webHidden/>
              </w:rPr>
              <w:tab/>
            </w:r>
            <w:r w:rsidR="00BE78C6">
              <w:rPr>
                <w:noProof/>
                <w:webHidden/>
              </w:rPr>
              <w:fldChar w:fldCharType="begin"/>
            </w:r>
            <w:r w:rsidR="00BE78C6">
              <w:rPr>
                <w:noProof/>
                <w:webHidden/>
              </w:rPr>
              <w:instrText xml:space="preserve"> PAGEREF _Toc506217446 \h </w:instrText>
            </w:r>
            <w:r w:rsidR="00BE78C6">
              <w:rPr>
                <w:noProof/>
                <w:webHidden/>
              </w:rPr>
            </w:r>
            <w:r w:rsidR="00BE78C6">
              <w:rPr>
                <w:noProof/>
                <w:webHidden/>
              </w:rPr>
              <w:fldChar w:fldCharType="separate"/>
            </w:r>
            <w:r w:rsidR="00BE78C6">
              <w:rPr>
                <w:noProof/>
                <w:webHidden/>
              </w:rPr>
              <w:t>63</w:t>
            </w:r>
            <w:r w:rsidR="00BE78C6">
              <w:rPr>
                <w:noProof/>
                <w:webHidden/>
              </w:rPr>
              <w:fldChar w:fldCharType="end"/>
            </w:r>
          </w:hyperlink>
        </w:p>
        <w:p w14:paraId="3F4541A5" w14:textId="77777777" w:rsidR="00BE78C6" w:rsidRDefault="002A5133">
          <w:pPr>
            <w:pStyle w:val="TOC2"/>
            <w:tabs>
              <w:tab w:val="right" w:leader="hyphen" w:pos="11136"/>
            </w:tabs>
            <w:rPr>
              <w:rFonts w:eastAsiaTheme="minorEastAsia"/>
              <w:b w:val="0"/>
              <w:bCs w:val="0"/>
              <w:noProof/>
              <w:sz w:val="22"/>
              <w:szCs w:val="22"/>
            </w:rPr>
          </w:pPr>
          <w:hyperlink w:anchor="_Toc506217447" w:history="1">
            <w:r w:rsidR="00BE78C6" w:rsidRPr="00A221D7">
              <w:rPr>
                <w:rStyle w:val="Hyperlink"/>
                <w:noProof/>
              </w:rPr>
              <w:t>Assignable Square Footage (ASF)</w:t>
            </w:r>
            <w:r w:rsidR="00BE78C6">
              <w:rPr>
                <w:noProof/>
                <w:webHidden/>
              </w:rPr>
              <w:tab/>
            </w:r>
            <w:r w:rsidR="00BE78C6">
              <w:rPr>
                <w:noProof/>
                <w:webHidden/>
              </w:rPr>
              <w:fldChar w:fldCharType="begin"/>
            </w:r>
            <w:r w:rsidR="00BE78C6">
              <w:rPr>
                <w:noProof/>
                <w:webHidden/>
              </w:rPr>
              <w:instrText xml:space="preserve"> PAGEREF _Toc506217447 \h </w:instrText>
            </w:r>
            <w:r w:rsidR="00BE78C6">
              <w:rPr>
                <w:noProof/>
                <w:webHidden/>
              </w:rPr>
            </w:r>
            <w:r w:rsidR="00BE78C6">
              <w:rPr>
                <w:noProof/>
                <w:webHidden/>
              </w:rPr>
              <w:fldChar w:fldCharType="separate"/>
            </w:r>
            <w:r w:rsidR="00BE78C6">
              <w:rPr>
                <w:noProof/>
                <w:webHidden/>
              </w:rPr>
              <w:t>63</w:t>
            </w:r>
            <w:r w:rsidR="00BE78C6">
              <w:rPr>
                <w:noProof/>
                <w:webHidden/>
              </w:rPr>
              <w:fldChar w:fldCharType="end"/>
            </w:r>
          </w:hyperlink>
        </w:p>
        <w:p w14:paraId="785F57AE" w14:textId="28D1FBCA" w:rsidR="007768A8" w:rsidRPr="00B9364B" w:rsidRDefault="007768A8">
          <w:pPr>
            <w:rPr>
              <w:color w:val="FF0000"/>
            </w:rPr>
          </w:pPr>
          <w:r w:rsidRPr="00B9364B">
            <w:rPr>
              <w:rFonts w:asciiTheme="majorHAnsi" w:hAnsiTheme="majorHAnsi"/>
              <w:b/>
              <w:bCs/>
              <w:caps/>
              <w:color w:val="FF0000"/>
              <w:sz w:val="24"/>
              <w:szCs w:val="24"/>
            </w:rPr>
            <w:fldChar w:fldCharType="end"/>
          </w:r>
        </w:p>
      </w:sdtContent>
    </w:sdt>
    <w:p w14:paraId="0F9D5DC9" w14:textId="77777777" w:rsidR="005B0BAC" w:rsidRPr="00B9364B" w:rsidRDefault="005B0BAC" w:rsidP="00F773AC">
      <w:pPr>
        <w:spacing w:line="240" w:lineRule="auto"/>
        <w:rPr>
          <w:iCs/>
          <w:color w:val="FF0000"/>
          <w:szCs w:val="24"/>
        </w:rPr>
      </w:pPr>
      <w:r w:rsidRPr="00B9364B">
        <w:rPr>
          <w:iCs/>
          <w:color w:val="FF0000"/>
          <w:szCs w:val="24"/>
        </w:rPr>
        <w:br w:type="page"/>
      </w:r>
    </w:p>
    <w:p w14:paraId="0F9D5DCA" w14:textId="36A0D6FA" w:rsidR="001A6E3D" w:rsidRPr="00E1254C" w:rsidRDefault="001A6E3D" w:rsidP="00BD7A91">
      <w:pPr>
        <w:pStyle w:val="Heading1"/>
        <w:tabs>
          <w:tab w:val="left" w:pos="7705"/>
        </w:tabs>
        <w:rPr>
          <w:color w:val="auto"/>
        </w:rPr>
      </w:pPr>
      <w:bookmarkStart w:id="3" w:name="_Toc506217387"/>
      <w:r w:rsidRPr="00E1254C">
        <w:rPr>
          <w:color w:val="auto"/>
        </w:rPr>
        <w:lastRenderedPageBreak/>
        <w:t>FROM THE</w:t>
      </w:r>
      <w:r w:rsidR="00DB70D3" w:rsidRPr="00E1254C">
        <w:rPr>
          <w:color w:val="auto"/>
        </w:rPr>
        <w:t xml:space="preserve"> </w:t>
      </w:r>
      <w:r w:rsidR="0061061C" w:rsidRPr="00E1254C">
        <w:rPr>
          <w:color w:val="auto"/>
        </w:rPr>
        <w:t>CHANCELLOR</w:t>
      </w:r>
      <w:bookmarkEnd w:id="1"/>
      <w:bookmarkEnd w:id="2"/>
      <w:bookmarkEnd w:id="3"/>
    </w:p>
    <w:p w14:paraId="0F9D5DCB" w14:textId="77777777" w:rsidR="001A6E3D" w:rsidRPr="00E1254C" w:rsidRDefault="001A6E3D" w:rsidP="001C4164">
      <w:pPr>
        <w:autoSpaceDE w:val="0"/>
        <w:autoSpaceDN w:val="0"/>
        <w:adjustRightInd w:val="0"/>
        <w:rPr>
          <w:b/>
          <w:sz w:val="26"/>
          <w:szCs w:val="26"/>
        </w:rPr>
      </w:pPr>
    </w:p>
    <w:p w14:paraId="0F9D5DCC" w14:textId="209AB88D" w:rsidR="001A6E3D" w:rsidRPr="00276E00" w:rsidRDefault="000A0B85" w:rsidP="001C4164">
      <w:pPr>
        <w:autoSpaceDE w:val="0"/>
        <w:autoSpaceDN w:val="0"/>
        <w:adjustRightInd w:val="0"/>
      </w:pPr>
      <w:r w:rsidRPr="00276E00">
        <w:t>Coast Community College District</w:t>
      </w:r>
      <w:r w:rsidR="001C4164" w:rsidRPr="00276E00">
        <w:t xml:space="preserve"> is dedicated to excellence in providing higher educa</w:t>
      </w:r>
      <w:r w:rsidRPr="00276E00">
        <w:t>tion.</w:t>
      </w:r>
      <w:r w:rsidR="001C4164" w:rsidRPr="00276E00">
        <w:t xml:space="preserve"> A key factor in ensuring educational quality is conducting an o</w:t>
      </w:r>
      <w:r w:rsidRPr="00276E00">
        <w:t>ngoing assessment of the District</w:t>
      </w:r>
      <w:r w:rsidR="001C4164" w:rsidRPr="00276E00">
        <w:t>’s effectiveness. Assessment gauges past performance and identifies areas for future improvement and growth.</w:t>
      </w:r>
    </w:p>
    <w:p w14:paraId="0F9D5DCD" w14:textId="77777777" w:rsidR="001C4164" w:rsidRPr="00276E00" w:rsidRDefault="001C4164" w:rsidP="00AE0124">
      <w:pPr>
        <w:autoSpaceDE w:val="0"/>
        <w:autoSpaceDN w:val="0"/>
        <w:adjustRightInd w:val="0"/>
      </w:pPr>
    </w:p>
    <w:p w14:paraId="0F9D5DCE" w14:textId="1DDB1853" w:rsidR="001C4164" w:rsidRPr="00276E00" w:rsidRDefault="001C4164" w:rsidP="00016BEE">
      <w:pPr>
        <w:autoSpaceDE w:val="0"/>
        <w:autoSpaceDN w:val="0"/>
        <w:adjustRightInd w:val="0"/>
        <w:rPr>
          <w:spacing w:val="-15"/>
        </w:rPr>
      </w:pPr>
      <w:r w:rsidRPr="00276E00">
        <w:t xml:space="preserve">This document contains </w:t>
      </w:r>
      <w:r w:rsidR="002C010D">
        <w:t>the District</w:t>
      </w:r>
      <w:r w:rsidRPr="00276E00">
        <w:t>’s assessment of institutional effectiveness. This ongoing evaluation reflects the commitment of man</w:t>
      </w:r>
      <w:r w:rsidR="000A0B85" w:rsidRPr="00276E00">
        <w:t>y individuals within the District</w:t>
      </w:r>
      <w:r w:rsidRPr="00276E00">
        <w:t xml:space="preserve"> to examine our institutional strengths and identify areas for improvement. To that end</w:t>
      </w:r>
      <w:r w:rsidR="000A0B85" w:rsidRPr="00276E00">
        <w:t>, the report is divided into four</w:t>
      </w:r>
      <w:r w:rsidRPr="00276E00">
        <w:t xml:space="preserve"> ma</w:t>
      </w:r>
      <w:r w:rsidR="000A0B85" w:rsidRPr="00276E00">
        <w:t>jor areas related to the District</w:t>
      </w:r>
      <w:r w:rsidRPr="00276E00">
        <w:t>’s</w:t>
      </w:r>
      <w:r w:rsidR="000A0B85" w:rsidRPr="00276E00">
        <w:t xml:space="preserve"> and Coast Colleges’</w:t>
      </w:r>
      <w:r w:rsidRPr="00276E00">
        <w:t xml:space="preserve"> mission, goals, functions, and resources. These topic areas include: </w:t>
      </w:r>
      <w:r w:rsidRPr="00276E00">
        <w:rPr>
          <w:b/>
          <w:bCs/>
        </w:rPr>
        <w:t>Student Learning, Achievement and Development; Student Outreach and Responsiveness to the Community</w:t>
      </w:r>
      <w:r w:rsidRPr="00276E00">
        <w:t xml:space="preserve">; </w:t>
      </w:r>
      <w:r w:rsidRPr="00276E00">
        <w:rPr>
          <w:b/>
          <w:bCs/>
        </w:rPr>
        <w:t>Faculty, Staff and Administrators/Managers;</w:t>
      </w:r>
      <w:r w:rsidRPr="00276E00">
        <w:t xml:space="preserve"> and </w:t>
      </w:r>
      <w:r w:rsidRPr="00276E00">
        <w:rPr>
          <w:b/>
          <w:bCs/>
        </w:rPr>
        <w:t>Fiscal Support</w:t>
      </w:r>
      <w:r w:rsidRPr="00276E00">
        <w:t>.</w:t>
      </w:r>
    </w:p>
    <w:p w14:paraId="0F9D5DCF" w14:textId="77777777" w:rsidR="001C4164" w:rsidRPr="00276E00" w:rsidRDefault="001C4164" w:rsidP="00016BEE">
      <w:pPr>
        <w:autoSpaceDE w:val="0"/>
        <w:autoSpaceDN w:val="0"/>
        <w:adjustRightInd w:val="0"/>
      </w:pPr>
    </w:p>
    <w:p w14:paraId="0F9D5DD0" w14:textId="704CD995" w:rsidR="001A6E3D" w:rsidRPr="00276E00" w:rsidRDefault="001C4164" w:rsidP="00016BEE">
      <w:pPr>
        <w:autoSpaceDE w:val="0"/>
        <w:autoSpaceDN w:val="0"/>
        <w:adjustRightInd w:val="0"/>
      </w:pPr>
      <w:r w:rsidRPr="00276E00">
        <w:t>Recognition should go to the following for their ef</w:t>
      </w:r>
      <w:r w:rsidR="00FA0C2A" w:rsidRPr="00276E00">
        <w:t>forts in completing the report</w:t>
      </w:r>
      <w:r w:rsidRPr="00276E00">
        <w:t xml:space="preserve">: </w:t>
      </w:r>
      <w:r w:rsidR="000A0B85" w:rsidRPr="00276E00">
        <w:t xml:space="preserve">Dr. Andreea Serban, Vice Chancellor Educational Services and Technology; Steve Webster, </w:t>
      </w:r>
      <w:r w:rsidR="00221031">
        <w:t xml:space="preserve">Senior Research </w:t>
      </w:r>
      <w:r w:rsidR="000A0B85" w:rsidRPr="00276E00">
        <w:t xml:space="preserve">Analyst, District Office; </w:t>
      </w:r>
      <w:r w:rsidR="00412904" w:rsidRPr="00276E00">
        <w:t xml:space="preserve">Directors of Research, Planning and Institutional Effectiveness </w:t>
      </w:r>
      <w:r w:rsidR="000A0B85" w:rsidRPr="00276E00">
        <w:t xml:space="preserve">Dwayne Thompson, </w:t>
      </w:r>
      <w:r w:rsidR="0075776F" w:rsidRPr="00276E00">
        <w:t>District Office</w:t>
      </w:r>
      <w:r w:rsidR="000A0B85" w:rsidRPr="00276E00">
        <w:t xml:space="preserve">; Sheri Sterner, Orange Coast College; </w:t>
      </w:r>
      <w:r w:rsidR="00535442">
        <w:t xml:space="preserve">Dr. </w:t>
      </w:r>
      <w:r w:rsidR="00412904" w:rsidRPr="00276E00">
        <w:t>Aeron Zentner, Coastline Community College;</w:t>
      </w:r>
      <w:r w:rsidR="00444136" w:rsidRPr="00276E00">
        <w:t xml:space="preserve"> </w:t>
      </w:r>
      <w:r w:rsidR="00412904" w:rsidRPr="00276E00">
        <w:t xml:space="preserve">Dr. </w:t>
      </w:r>
      <w:r w:rsidR="00444136" w:rsidRPr="00276E00">
        <w:t>Kay Nguyen, Golden West College</w:t>
      </w:r>
      <w:r w:rsidR="00412904" w:rsidRPr="00276E00">
        <w:t>;</w:t>
      </w:r>
      <w:r w:rsidRPr="00276E00">
        <w:t xml:space="preserve"> and staff from various departments for their input into and support of the project.</w:t>
      </w:r>
    </w:p>
    <w:p w14:paraId="0F9D5DD1" w14:textId="77777777" w:rsidR="001C4164" w:rsidRPr="00276E00" w:rsidRDefault="001C4164" w:rsidP="00016BEE">
      <w:pPr>
        <w:autoSpaceDE w:val="0"/>
        <w:autoSpaceDN w:val="0"/>
        <w:adjustRightInd w:val="0"/>
      </w:pPr>
    </w:p>
    <w:p w14:paraId="0F9D5DD2" w14:textId="77777777" w:rsidR="001C4164" w:rsidRPr="00276E00" w:rsidRDefault="001C4164" w:rsidP="00016BEE">
      <w:pPr>
        <w:autoSpaceDE w:val="0"/>
        <w:autoSpaceDN w:val="0"/>
        <w:adjustRightInd w:val="0"/>
      </w:pPr>
      <w:r w:rsidRPr="00276E00">
        <w:t xml:space="preserve">The primary purposes of the Institutional Effectiveness Report are to </w:t>
      </w:r>
      <w:r w:rsidR="000A0B85" w:rsidRPr="00276E00">
        <w:t xml:space="preserve">guide the improvement of </w:t>
      </w:r>
      <w:r w:rsidRPr="00276E00">
        <w:t>instructional and student services programs, and to support the development of initiatives designed to promote student success. The results from this evaluation assist us in achieving these fundamental purposes.</w:t>
      </w:r>
    </w:p>
    <w:p w14:paraId="0F9D5DD3" w14:textId="77777777" w:rsidR="001C4164" w:rsidRPr="00B9364B" w:rsidRDefault="001C4164" w:rsidP="001C4164">
      <w:pPr>
        <w:autoSpaceDE w:val="0"/>
        <w:autoSpaceDN w:val="0"/>
        <w:adjustRightInd w:val="0"/>
        <w:rPr>
          <w:color w:val="FF0000"/>
        </w:rPr>
      </w:pPr>
    </w:p>
    <w:p w14:paraId="71EE0A17" w14:textId="1CB6649D" w:rsidR="0085645D" w:rsidRPr="00E1254C" w:rsidRDefault="00E1254C" w:rsidP="00F778F7">
      <w:pPr>
        <w:autoSpaceDE w:val="0"/>
        <w:autoSpaceDN w:val="0"/>
        <w:adjustRightInd w:val="0"/>
        <w:ind w:left="2880" w:right="1440"/>
        <w:rPr>
          <w:rFonts w:ascii="Open Sans" w:hAnsi="Open Sans" w:cs="Segoe UI"/>
          <w:i/>
          <w:iCs/>
          <w:sz w:val="20"/>
          <w:szCs w:val="20"/>
        </w:rPr>
      </w:pPr>
      <w:r w:rsidRPr="00E1254C">
        <w:rPr>
          <w:rFonts w:ascii="Open Sans" w:hAnsi="Open Sans" w:cs="Segoe UI"/>
          <w:i/>
          <w:iCs/>
          <w:sz w:val="20"/>
          <w:szCs w:val="20"/>
        </w:rPr>
        <w:t>Dr. John Weispfenning</w:t>
      </w:r>
    </w:p>
    <w:p w14:paraId="5CC9A0B5" w14:textId="093D8404" w:rsidR="0085645D" w:rsidRPr="00E1254C" w:rsidRDefault="0085645D" w:rsidP="00F778F7">
      <w:pPr>
        <w:autoSpaceDE w:val="0"/>
        <w:autoSpaceDN w:val="0"/>
        <w:adjustRightInd w:val="0"/>
        <w:ind w:left="2880" w:right="1440"/>
        <w:rPr>
          <w:rFonts w:ascii="Open Sans" w:hAnsi="Open Sans" w:cs="Segoe UI"/>
          <w:i/>
          <w:iCs/>
          <w:sz w:val="20"/>
          <w:szCs w:val="20"/>
        </w:rPr>
      </w:pPr>
      <w:r w:rsidRPr="00E1254C">
        <w:rPr>
          <w:rFonts w:ascii="Open Sans" w:hAnsi="Open Sans" w:cs="Segoe UI"/>
          <w:i/>
          <w:iCs/>
          <w:sz w:val="20"/>
          <w:szCs w:val="20"/>
        </w:rPr>
        <w:t>Chancellor</w:t>
      </w:r>
    </w:p>
    <w:p w14:paraId="1BBFD03C" w14:textId="77777777" w:rsidR="001249F8" w:rsidRDefault="00AC7A0F" w:rsidP="00AC7A0F">
      <w:pPr>
        <w:pStyle w:val="Heading1"/>
        <w:rPr>
          <w:rFonts w:asciiTheme="minorHAnsi" w:hAnsiTheme="minorHAnsi"/>
          <w:b w:val="0"/>
          <w:color w:val="FF0000"/>
          <w:sz w:val="24"/>
          <w:szCs w:val="24"/>
        </w:rPr>
      </w:pPr>
      <w:bookmarkStart w:id="4" w:name="_Toc287724471"/>
      <w:bookmarkStart w:id="5" w:name="_Toc287786832"/>
      <w:bookmarkStart w:id="6" w:name="_Toc288721470"/>
      <w:bookmarkStart w:id="7" w:name="_Toc288722037"/>
      <w:bookmarkStart w:id="8" w:name="_Toc288722288"/>
      <w:bookmarkStart w:id="9" w:name="_Toc288801528"/>
      <w:r w:rsidRPr="00B9364B">
        <w:rPr>
          <w:rFonts w:asciiTheme="minorHAnsi" w:hAnsiTheme="minorHAnsi"/>
          <w:b w:val="0"/>
          <w:color w:val="FF0000"/>
          <w:sz w:val="24"/>
          <w:szCs w:val="24"/>
        </w:rPr>
        <w:lastRenderedPageBreak/>
        <w:br w:type="page"/>
      </w:r>
      <w:bookmarkStart w:id="10" w:name="_Toc340554669"/>
      <w:bookmarkStart w:id="11" w:name="_Toc341183206"/>
    </w:p>
    <w:p w14:paraId="44E6B85F" w14:textId="1E318084" w:rsidR="001249F8" w:rsidRDefault="001249F8" w:rsidP="00AC7A0F">
      <w:pPr>
        <w:pStyle w:val="Heading1"/>
        <w:rPr>
          <w:color w:val="auto"/>
        </w:rPr>
      </w:pPr>
      <w:bookmarkStart w:id="12" w:name="_Toc506217388"/>
      <w:r>
        <w:rPr>
          <w:color w:val="auto"/>
        </w:rPr>
        <w:lastRenderedPageBreak/>
        <w:t>EXECUTIVE SUMMARY</w:t>
      </w:r>
      <w:r w:rsidR="00B27B07">
        <w:rPr>
          <w:color w:val="auto"/>
        </w:rPr>
        <w:t>/REPORT HIGHLIGHTS</w:t>
      </w:r>
      <w:bookmarkEnd w:id="12"/>
    </w:p>
    <w:p w14:paraId="2DE6EF24" w14:textId="77777777" w:rsidR="001249F8" w:rsidRDefault="001249F8" w:rsidP="001249F8"/>
    <w:p w14:paraId="0A584B13" w14:textId="7844C42F" w:rsidR="001249F8" w:rsidRPr="00A45EC7" w:rsidRDefault="001249F8" w:rsidP="001249F8">
      <w:pPr>
        <w:rPr>
          <w:b/>
        </w:rPr>
      </w:pPr>
      <w:r w:rsidRPr="00A45EC7">
        <w:rPr>
          <w:b/>
        </w:rPr>
        <w:t>STUDENT LEARNING, ACHIEVEMENT AND DEVELOPMENT</w:t>
      </w:r>
    </w:p>
    <w:p w14:paraId="502DFBDF" w14:textId="77777777" w:rsidR="00A51CEB" w:rsidRPr="009D6291" w:rsidRDefault="00A51CEB" w:rsidP="00A51CEB">
      <w:pPr>
        <w:rPr>
          <w:rFonts w:cs="Arial"/>
        </w:rPr>
      </w:pPr>
      <w:r w:rsidRPr="003211A6">
        <w:rPr>
          <w:rFonts w:cs="Arial"/>
        </w:rPr>
        <w:t xml:space="preserve">Looking across all of </w:t>
      </w:r>
      <w:r w:rsidRPr="009D6291">
        <w:rPr>
          <w:rFonts w:cs="Arial"/>
        </w:rPr>
        <w:t>the 2017 Scorecard measures, Orange Coast College is above statewide average rates on every measure and has the highest rates within the District for all measures. Golden West College is at or above statewide average rates on all but two measures – Remedial ESL and Skills Builder. Coastline Community College is at or above statewide average rates on four of the seven measures. The three measures Coastline is below statewide average rates are Remedial ESL, Persistence and Skills Builder</w:t>
      </w:r>
    </w:p>
    <w:p w14:paraId="5A158F9A" w14:textId="77777777" w:rsidR="002E794B" w:rsidRDefault="002E794B" w:rsidP="001249F8"/>
    <w:p w14:paraId="3652074B" w14:textId="323CFA53" w:rsidR="002E794B" w:rsidRDefault="002E794B" w:rsidP="002E794B">
      <w:r>
        <w:t xml:space="preserve">In terms of overall successful course completion rates, </w:t>
      </w:r>
      <w:r w:rsidRPr="00266147">
        <w:t xml:space="preserve">Orange Coast maintained higher successful course completion rates than the statewide average in all five fall semesters at rates </w:t>
      </w:r>
      <w:r w:rsidR="00A51CEB" w:rsidRPr="00960D07">
        <w:t>varying between 72% and 73%. Coastline is below the statewide average rate. Coastline’s rates fluctuated between 64% and 66%. Golden West’s rates fluctuated between 67% and 70%. The statewide average rates fluctuated between 69% and 70%.</w:t>
      </w:r>
      <w:r w:rsidR="00A51CEB">
        <w:t xml:space="preserve"> </w:t>
      </w:r>
      <w:r w:rsidR="00A45EC7" w:rsidRPr="007360FE">
        <w:t xml:space="preserve">For all three colleges however, success rates in online courses are consistently </w:t>
      </w:r>
      <w:r w:rsidR="00A45EC7">
        <w:t xml:space="preserve">and significantly </w:t>
      </w:r>
      <w:r w:rsidR="00A45EC7" w:rsidRPr="007360FE">
        <w:t>lower than in courses offered face-to-face.</w:t>
      </w:r>
    </w:p>
    <w:p w14:paraId="49A4516C" w14:textId="77777777" w:rsidR="00A45EC7" w:rsidRDefault="00A45EC7" w:rsidP="002E794B"/>
    <w:p w14:paraId="3900FA47" w14:textId="77777777" w:rsidR="00DB3A6F" w:rsidRPr="00AC2EE2" w:rsidRDefault="00A45EC7" w:rsidP="00DB3A6F">
      <w:r>
        <w:t>The progression through the basic skills sequences of English and Math to college-level remains an area of concern. At Coastline, t</w:t>
      </w:r>
      <w:r w:rsidRPr="00B702D3">
        <w:t xml:space="preserve">he percentage of students who started two levels below </w:t>
      </w:r>
      <w:r>
        <w:t>college-level who successfully p</w:t>
      </w:r>
      <w:r w:rsidRPr="00B702D3">
        <w:t>rogressed and completed college-level English within two years has increased since the low of 1</w:t>
      </w:r>
      <w:r w:rsidR="00721E01">
        <w:t>9</w:t>
      </w:r>
      <w:r w:rsidRPr="00B702D3">
        <w:t>% for the Fall ‘11 to Spring ‘1</w:t>
      </w:r>
      <w:r w:rsidR="00721E01">
        <w:t>3</w:t>
      </w:r>
      <w:r w:rsidRPr="00B702D3">
        <w:t xml:space="preserve"> cohort to as high as 36%</w:t>
      </w:r>
      <w:r w:rsidR="00A51CEB">
        <w:t xml:space="preserve"> for the Fall 15 to Spring 17 cohort</w:t>
      </w:r>
      <w:r w:rsidR="00A51CEB" w:rsidRPr="00B702D3">
        <w:t>.</w:t>
      </w:r>
      <w:r w:rsidRPr="00B702D3">
        <w:t xml:space="preserve"> A large part of the volatility of Coastline’s percentages is due to the small numbers that comprise each cohort. Over the past five cohorts tracked, the rates at which Golden West English Composition students beginning at two levels below college-level progressed to the next peeked in the </w:t>
      </w:r>
      <w:r w:rsidR="00C65208">
        <w:t>second</w:t>
      </w:r>
      <w:r w:rsidRPr="00B702D3">
        <w:t xml:space="preserve"> cohort but fell </w:t>
      </w:r>
      <w:r>
        <w:t xml:space="preserve">for </w:t>
      </w:r>
      <w:r w:rsidRPr="00B702D3">
        <w:t>the last t</w:t>
      </w:r>
      <w:r w:rsidR="00C65208">
        <w:t>hree</w:t>
      </w:r>
      <w:r w:rsidRPr="00B702D3">
        <w:t xml:space="preserve"> </w:t>
      </w:r>
      <w:r>
        <w:t>cohorts</w:t>
      </w:r>
      <w:r w:rsidRPr="00B702D3">
        <w:t>. Between 2</w:t>
      </w:r>
      <w:r w:rsidR="00C65208">
        <w:t>5</w:t>
      </w:r>
      <w:r w:rsidRPr="00B702D3">
        <w:t>% and 30% successfully progressed and completed the transfer-level Englis</w:t>
      </w:r>
      <w:r>
        <w:t xml:space="preserve">h course. </w:t>
      </w:r>
      <w:r w:rsidR="00DB3A6F" w:rsidRPr="00B702D3">
        <w:t xml:space="preserve">The rates at which Orange Coast English </w:t>
      </w:r>
      <w:r w:rsidR="00DB3A6F" w:rsidRPr="00B702D3">
        <w:lastRenderedPageBreak/>
        <w:t xml:space="preserve">Composition students beginning at two levels below college-level were successful </w:t>
      </w:r>
      <w:r w:rsidR="00DB3A6F">
        <w:t xml:space="preserve">were as high </w:t>
      </w:r>
      <w:r w:rsidR="00DB3A6F" w:rsidRPr="00AC2EE2">
        <w:t xml:space="preserve">as 74% and as low as 64% over the last five cohorts. Similarly, for those students who progress to one-level below, their rates ranged from 51% to 37%, and are at 51% for 2015-17. However, the rates of students who progressed successfully to transfer-level held steady and increased from a low of 19% to 26% in 2015-17. </w:t>
      </w:r>
    </w:p>
    <w:p w14:paraId="4A514520" w14:textId="46D6C99A" w:rsidR="00A45EC7" w:rsidRPr="00B702D3" w:rsidRDefault="00A45EC7" w:rsidP="00A45EC7"/>
    <w:p w14:paraId="22FE63F2" w14:textId="6BC0462E" w:rsidR="00A45EC7" w:rsidRDefault="00A45EC7" w:rsidP="00A45EC7"/>
    <w:p w14:paraId="21D3D821" w14:textId="77777777" w:rsidR="00DB3A6F" w:rsidRPr="00B702D3" w:rsidRDefault="00A45EC7" w:rsidP="00DB3A6F">
      <w:r>
        <w:t xml:space="preserve">In terms of progression through basic skills Math, </w:t>
      </w:r>
      <w:r w:rsidR="00DB3A6F">
        <w:t>o</w:t>
      </w:r>
      <w:r w:rsidRPr="00B702D3">
        <w:t xml:space="preserve">ver the past </w:t>
      </w:r>
      <w:r w:rsidR="00DB3A6F">
        <w:t>five</w:t>
      </w:r>
      <w:r w:rsidRPr="00B702D3">
        <w:t xml:space="preserve"> cohorts tracked, </w:t>
      </w:r>
      <w:r w:rsidR="00DB3A6F" w:rsidRPr="00B702D3">
        <w:t xml:space="preserve">Coastline math students beginning at two levels below transfer level have success rates ranging </w:t>
      </w:r>
      <w:r w:rsidR="00DB3A6F" w:rsidRPr="00686B07">
        <w:t xml:space="preserve">between 58% and 63%. Within two years, 32% to 39% of these students were successful at the next course level and 8% to 11% ultimately successful </w:t>
      </w:r>
      <w:r w:rsidR="00DB3A6F" w:rsidRPr="00B702D3">
        <w:t>at the transfer level.</w:t>
      </w:r>
      <w:r w:rsidR="00DB3A6F" w:rsidRPr="00B702D3">
        <w:rPr>
          <w:rFonts w:eastAsia="Calibri" w:cs="Arial"/>
          <w:noProof/>
        </w:rPr>
        <w:t xml:space="preserve"> </w:t>
      </w:r>
    </w:p>
    <w:p w14:paraId="2BCDAE55" w14:textId="77777777" w:rsidR="00DB3A6F" w:rsidRPr="00B702D3" w:rsidRDefault="00DB3A6F" w:rsidP="00DB3A6F">
      <w:pPr>
        <w:keepNext/>
      </w:pPr>
      <w:r>
        <w:t>Golden West’s math p</w:t>
      </w:r>
      <w:r w:rsidRPr="00B702D3">
        <w:t>rogression rates have remained relatively steady over the last five cohorts. Students beginning at two levels below transfer level have succ</w:t>
      </w:r>
      <w:r>
        <w:t>ess rates ranging from 41</w:t>
      </w:r>
      <w:r w:rsidRPr="00686B07">
        <w:t>% to 61%. Between 22% and 27% of these students were successful at the next course level, with 9% to 14% progressing to and</w:t>
      </w:r>
      <w:r>
        <w:t xml:space="preserve"> being</w:t>
      </w:r>
      <w:r w:rsidRPr="00686B07">
        <w:t xml:space="preserve"> successful at the transfer </w:t>
      </w:r>
      <w:r w:rsidRPr="00B702D3">
        <w:t>level.</w:t>
      </w:r>
    </w:p>
    <w:p w14:paraId="4DB75705" w14:textId="77777777" w:rsidR="00DB3A6F" w:rsidRPr="00B702D3" w:rsidRDefault="00DB3A6F" w:rsidP="00DB3A6F">
      <w:r w:rsidRPr="00B702D3">
        <w:t>Overall</w:t>
      </w:r>
      <w:r>
        <w:t>, Orange Coast’s math p</w:t>
      </w:r>
      <w:r w:rsidRPr="00B702D3">
        <w:t>rogression rates have remained relatively steady over the last five cohorts. Students beginning at two levels below transfer-level ha</w:t>
      </w:r>
      <w:r>
        <w:t xml:space="preserve">ve success rates ranging </w:t>
      </w:r>
      <w:r w:rsidRPr="00686B07">
        <w:t xml:space="preserve">from 54% to 61%. Within two years, 31% of </w:t>
      </w:r>
      <w:r w:rsidRPr="00B702D3">
        <w:t>these students were successful at the next level. Between 10% and 16% of students progressed to and were su</w:t>
      </w:r>
      <w:r>
        <w:t>ccessful at the transfer level.</w:t>
      </w:r>
    </w:p>
    <w:p w14:paraId="5BE4781E" w14:textId="5E97534C" w:rsidR="00A45EC7" w:rsidRDefault="00A45EC7" w:rsidP="00A45EC7">
      <w:pPr>
        <w:keepNext/>
      </w:pPr>
    </w:p>
    <w:p w14:paraId="4AFC9A2C" w14:textId="73C2450A" w:rsidR="00A45EC7" w:rsidRPr="00A45EC7" w:rsidRDefault="00A45EC7" w:rsidP="00A45EC7">
      <w:pPr>
        <w:tabs>
          <w:tab w:val="left" w:pos="1210"/>
          <w:tab w:val="left" w:pos="1982"/>
          <w:tab w:val="left" w:pos="3965"/>
          <w:tab w:val="left" w:pos="5158"/>
          <w:tab w:val="left" w:pos="6132"/>
        </w:tabs>
        <w:autoSpaceDE w:val="0"/>
        <w:autoSpaceDN w:val="0"/>
        <w:adjustRightInd w:val="0"/>
      </w:pPr>
      <w:r w:rsidRPr="00A45EC7">
        <w:t xml:space="preserve">The total number of degrees awarded district-wide once again increased from </w:t>
      </w:r>
      <w:r w:rsidR="006744C9">
        <w:t>5,511</w:t>
      </w:r>
      <w:r w:rsidRPr="00A45EC7">
        <w:t xml:space="preserve"> in 201</w:t>
      </w:r>
      <w:r w:rsidR="006744C9">
        <w:t>5</w:t>
      </w:r>
      <w:r w:rsidRPr="00A45EC7">
        <w:t>-1</w:t>
      </w:r>
      <w:r w:rsidR="006744C9">
        <w:t>6</w:t>
      </w:r>
      <w:r w:rsidRPr="00A45EC7">
        <w:t xml:space="preserve"> to a new high of 5,</w:t>
      </w:r>
      <w:r w:rsidR="006744C9">
        <w:t>826</w:t>
      </w:r>
      <w:r w:rsidRPr="00A45EC7">
        <w:t xml:space="preserve"> in 201</w:t>
      </w:r>
      <w:r w:rsidR="006744C9">
        <w:t>6</w:t>
      </w:r>
      <w:r w:rsidRPr="00A45EC7">
        <w:t>-1</w:t>
      </w:r>
      <w:r w:rsidR="006744C9">
        <w:t>7</w:t>
      </w:r>
      <w:r w:rsidRPr="00A45EC7">
        <w:t xml:space="preserve">. </w:t>
      </w:r>
    </w:p>
    <w:p w14:paraId="57B36792" w14:textId="4BFE7C17" w:rsidR="00A45EC7" w:rsidRPr="00FB2243" w:rsidRDefault="00A45EC7" w:rsidP="00A45EC7">
      <w:pPr>
        <w:pStyle w:val="ListParagraph"/>
        <w:numPr>
          <w:ilvl w:val="0"/>
          <w:numId w:val="3"/>
        </w:numPr>
        <w:tabs>
          <w:tab w:val="left" w:pos="1210"/>
          <w:tab w:val="left" w:pos="1982"/>
          <w:tab w:val="left" w:pos="3965"/>
          <w:tab w:val="left" w:pos="5158"/>
          <w:tab w:val="left" w:pos="6132"/>
        </w:tabs>
        <w:autoSpaceDE w:val="0"/>
        <w:autoSpaceDN w:val="0"/>
        <w:adjustRightInd w:val="0"/>
        <w:rPr>
          <w:color w:val="auto"/>
          <w:sz w:val="22"/>
        </w:rPr>
      </w:pPr>
      <w:r>
        <w:rPr>
          <w:color w:val="auto"/>
          <w:sz w:val="22"/>
        </w:rPr>
        <w:t xml:space="preserve">Orange Coast College </w:t>
      </w:r>
      <w:r w:rsidRPr="00FB2243">
        <w:rPr>
          <w:color w:val="auto"/>
          <w:sz w:val="22"/>
        </w:rPr>
        <w:t xml:space="preserve">degrees awarded </w:t>
      </w:r>
      <w:r w:rsidR="006744C9">
        <w:rPr>
          <w:color w:val="auto"/>
          <w:sz w:val="22"/>
        </w:rPr>
        <w:t>in</w:t>
      </w:r>
      <w:r w:rsidRPr="00FB2243">
        <w:rPr>
          <w:color w:val="auto"/>
          <w:sz w:val="22"/>
        </w:rPr>
        <w:t xml:space="preserve">creased from </w:t>
      </w:r>
      <w:r w:rsidR="006744C9">
        <w:rPr>
          <w:color w:val="auto"/>
          <w:sz w:val="22"/>
        </w:rPr>
        <w:t>2,080</w:t>
      </w:r>
      <w:r>
        <w:rPr>
          <w:color w:val="auto"/>
          <w:sz w:val="22"/>
        </w:rPr>
        <w:t xml:space="preserve"> in 201</w:t>
      </w:r>
      <w:r w:rsidR="006744C9">
        <w:rPr>
          <w:color w:val="auto"/>
          <w:sz w:val="22"/>
        </w:rPr>
        <w:t>5</w:t>
      </w:r>
      <w:r>
        <w:rPr>
          <w:color w:val="auto"/>
          <w:sz w:val="22"/>
        </w:rPr>
        <w:t>-1</w:t>
      </w:r>
      <w:r w:rsidR="006744C9">
        <w:rPr>
          <w:color w:val="auto"/>
          <w:sz w:val="22"/>
        </w:rPr>
        <w:t>6</w:t>
      </w:r>
      <w:r w:rsidRPr="00FB2243">
        <w:rPr>
          <w:color w:val="auto"/>
          <w:sz w:val="22"/>
        </w:rPr>
        <w:t xml:space="preserve"> to </w:t>
      </w:r>
      <w:r w:rsidR="005D00CD">
        <w:rPr>
          <w:color w:val="auto"/>
          <w:sz w:val="22"/>
        </w:rPr>
        <w:t>2,</w:t>
      </w:r>
      <w:r w:rsidR="006744C9">
        <w:rPr>
          <w:color w:val="auto"/>
          <w:sz w:val="22"/>
        </w:rPr>
        <w:t>166</w:t>
      </w:r>
      <w:r>
        <w:rPr>
          <w:color w:val="auto"/>
          <w:sz w:val="22"/>
        </w:rPr>
        <w:t xml:space="preserve"> in 201</w:t>
      </w:r>
      <w:r w:rsidR="006744C9">
        <w:rPr>
          <w:color w:val="auto"/>
          <w:sz w:val="22"/>
        </w:rPr>
        <w:t>6</w:t>
      </w:r>
      <w:r>
        <w:rPr>
          <w:color w:val="auto"/>
          <w:sz w:val="22"/>
        </w:rPr>
        <w:t>-1</w:t>
      </w:r>
      <w:r w:rsidR="006744C9">
        <w:rPr>
          <w:color w:val="auto"/>
          <w:sz w:val="22"/>
        </w:rPr>
        <w:t>7</w:t>
      </w:r>
      <w:r w:rsidRPr="00FB2243">
        <w:rPr>
          <w:color w:val="auto"/>
          <w:sz w:val="22"/>
        </w:rPr>
        <w:t xml:space="preserve">. </w:t>
      </w:r>
    </w:p>
    <w:p w14:paraId="189920DC" w14:textId="77CD4EF7" w:rsidR="00A45EC7" w:rsidRPr="00FB2243" w:rsidRDefault="00A45EC7" w:rsidP="00A45EC7">
      <w:pPr>
        <w:pStyle w:val="ListParagraph"/>
        <w:numPr>
          <w:ilvl w:val="0"/>
          <w:numId w:val="3"/>
        </w:numPr>
        <w:tabs>
          <w:tab w:val="left" w:pos="1210"/>
          <w:tab w:val="left" w:pos="1982"/>
          <w:tab w:val="left" w:pos="3965"/>
          <w:tab w:val="left" w:pos="5158"/>
          <w:tab w:val="left" w:pos="6132"/>
        </w:tabs>
        <w:autoSpaceDE w:val="0"/>
        <w:autoSpaceDN w:val="0"/>
        <w:adjustRightInd w:val="0"/>
        <w:rPr>
          <w:color w:val="auto"/>
          <w:sz w:val="22"/>
        </w:rPr>
      </w:pPr>
      <w:r w:rsidRPr="00FB2243">
        <w:rPr>
          <w:color w:val="auto"/>
          <w:sz w:val="22"/>
        </w:rPr>
        <w:t xml:space="preserve">Golden West College degrees </w:t>
      </w:r>
      <w:r>
        <w:rPr>
          <w:color w:val="auto"/>
          <w:sz w:val="22"/>
        </w:rPr>
        <w:t>incr</w:t>
      </w:r>
      <w:r w:rsidRPr="00FB2243">
        <w:rPr>
          <w:color w:val="auto"/>
          <w:sz w:val="22"/>
        </w:rPr>
        <w:t>eased from 1,</w:t>
      </w:r>
      <w:r w:rsidR="006744C9">
        <w:rPr>
          <w:color w:val="auto"/>
          <w:sz w:val="22"/>
        </w:rPr>
        <w:t>317</w:t>
      </w:r>
      <w:r>
        <w:rPr>
          <w:color w:val="auto"/>
          <w:sz w:val="22"/>
        </w:rPr>
        <w:t xml:space="preserve"> in 201</w:t>
      </w:r>
      <w:r w:rsidR="006744C9">
        <w:rPr>
          <w:color w:val="auto"/>
          <w:sz w:val="22"/>
        </w:rPr>
        <w:t>5-</w:t>
      </w:r>
      <w:r>
        <w:rPr>
          <w:color w:val="auto"/>
          <w:sz w:val="22"/>
        </w:rPr>
        <w:t>1</w:t>
      </w:r>
      <w:r w:rsidR="006744C9">
        <w:rPr>
          <w:color w:val="auto"/>
          <w:sz w:val="22"/>
        </w:rPr>
        <w:t>6</w:t>
      </w:r>
      <w:r w:rsidRPr="00FB2243">
        <w:rPr>
          <w:color w:val="auto"/>
          <w:sz w:val="22"/>
        </w:rPr>
        <w:t xml:space="preserve"> to 1,</w:t>
      </w:r>
      <w:r w:rsidR="006744C9">
        <w:rPr>
          <w:color w:val="auto"/>
          <w:sz w:val="22"/>
        </w:rPr>
        <w:t>426</w:t>
      </w:r>
      <w:r>
        <w:rPr>
          <w:color w:val="auto"/>
          <w:sz w:val="22"/>
        </w:rPr>
        <w:t xml:space="preserve"> in 201</w:t>
      </w:r>
      <w:r w:rsidR="006744C9">
        <w:rPr>
          <w:color w:val="auto"/>
          <w:sz w:val="22"/>
        </w:rPr>
        <w:t>6</w:t>
      </w:r>
      <w:r>
        <w:rPr>
          <w:color w:val="auto"/>
          <w:sz w:val="22"/>
        </w:rPr>
        <w:t>-1</w:t>
      </w:r>
      <w:r w:rsidR="006744C9">
        <w:rPr>
          <w:color w:val="auto"/>
          <w:sz w:val="22"/>
        </w:rPr>
        <w:t>7</w:t>
      </w:r>
      <w:r w:rsidRPr="00FB2243">
        <w:rPr>
          <w:color w:val="auto"/>
          <w:sz w:val="22"/>
        </w:rPr>
        <w:t>.</w:t>
      </w:r>
    </w:p>
    <w:p w14:paraId="458E6313" w14:textId="356705E8" w:rsidR="00A45EC7" w:rsidRPr="00A45EC7" w:rsidRDefault="00A45EC7" w:rsidP="00A45EC7">
      <w:pPr>
        <w:pStyle w:val="ListParagraph"/>
        <w:numPr>
          <w:ilvl w:val="0"/>
          <w:numId w:val="3"/>
        </w:numPr>
        <w:tabs>
          <w:tab w:val="left" w:pos="1210"/>
          <w:tab w:val="left" w:pos="1982"/>
          <w:tab w:val="left" w:pos="3965"/>
          <w:tab w:val="left" w:pos="5158"/>
          <w:tab w:val="left" w:pos="6132"/>
        </w:tabs>
        <w:autoSpaceDE w:val="0"/>
        <w:autoSpaceDN w:val="0"/>
        <w:adjustRightInd w:val="0"/>
        <w:spacing w:after="0"/>
        <w:rPr>
          <w:color w:val="auto"/>
        </w:rPr>
      </w:pPr>
      <w:r w:rsidRPr="00FB2243">
        <w:rPr>
          <w:color w:val="auto"/>
          <w:sz w:val="22"/>
        </w:rPr>
        <w:lastRenderedPageBreak/>
        <w:t xml:space="preserve">Coastline Community College degrees increased from </w:t>
      </w:r>
      <w:r w:rsidR="006744C9">
        <w:rPr>
          <w:color w:val="auto"/>
          <w:sz w:val="22"/>
        </w:rPr>
        <w:t>850</w:t>
      </w:r>
      <w:r w:rsidRPr="00FB2243">
        <w:rPr>
          <w:color w:val="auto"/>
          <w:sz w:val="22"/>
        </w:rPr>
        <w:t xml:space="preserve"> </w:t>
      </w:r>
      <w:r>
        <w:rPr>
          <w:color w:val="auto"/>
          <w:sz w:val="22"/>
        </w:rPr>
        <w:t>in 201</w:t>
      </w:r>
      <w:r w:rsidR="006744C9">
        <w:rPr>
          <w:color w:val="auto"/>
          <w:sz w:val="22"/>
        </w:rPr>
        <w:t>5</w:t>
      </w:r>
      <w:r>
        <w:rPr>
          <w:color w:val="auto"/>
          <w:sz w:val="22"/>
        </w:rPr>
        <w:t>-1</w:t>
      </w:r>
      <w:r w:rsidR="006744C9">
        <w:rPr>
          <w:color w:val="auto"/>
          <w:sz w:val="22"/>
        </w:rPr>
        <w:t>6</w:t>
      </w:r>
      <w:r>
        <w:rPr>
          <w:color w:val="auto"/>
          <w:sz w:val="22"/>
        </w:rPr>
        <w:t xml:space="preserve"> </w:t>
      </w:r>
      <w:r w:rsidRPr="00FB2243">
        <w:rPr>
          <w:color w:val="auto"/>
          <w:sz w:val="22"/>
        </w:rPr>
        <w:t xml:space="preserve">to </w:t>
      </w:r>
      <w:r w:rsidR="006744C9">
        <w:rPr>
          <w:color w:val="auto"/>
          <w:sz w:val="22"/>
        </w:rPr>
        <w:t>1,037</w:t>
      </w:r>
      <w:r>
        <w:rPr>
          <w:color w:val="auto"/>
          <w:sz w:val="22"/>
        </w:rPr>
        <w:t xml:space="preserve"> in 201</w:t>
      </w:r>
      <w:r w:rsidR="006744C9">
        <w:rPr>
          <w:color w:val="auto"/>
          <w:sz w:val="22"/>
        </w:rPr>
        <w:t>6</w:t>
      </w:r>
      <w:r>
        <w:rPr>
          <w:color w:val="auto"/>
          <w:sz w:val="22"/>
        </w:rPr>
        <w:t>-1</w:t>
      </w:r>
      <w:r w:rsidR="006744C9">
        <w:rPr>
          <w:color w:val="auto"/>
          <w:sz w:val="22"/>
        </w:rPr>
        <w:t>7</w:t>
      </w:r>
      <w:r w:rsidRPr="00FB2243">
        <w:rPr>
          <w:color w:val="auto"/>
          <w:sz w:val="22"/>
        </w:rPr>
        <w:t xml:space="preserve">, while the Coastline Military </w:t>
      </w:r>
      <w:r w:rsidR="006744C9">
        <w:rPr>
          <w:color w:val="auto"/>
          <w:sz w:val="22"/>
        </w:rPr>
        <w:t>de</w:t>
      </w:r>
      <w:r w:rsidRPr="00FB2243">
        <w:rPr>
          <w:color w:val="auto"/>
          <w:sz w:val="22"/>
        </w:rPr>
        <w:t>creased from 1,</w:t>
      </w:r>
      <w:r w:rsidR="006744C9">
        <w:rPr>
          <w:color w:val="auto"/>
          <w:sz w:val="22"/>
        </w:rPr>
        <w:t>264</w:t>
      </w:r>
      <w:r w:rsidRPr="00FB2243">
        <w:rPr>
          <w:color w:val="auto"/>
          <w:sz w:val="22"/>
        </w:rPr>
        <w:t xml:space="preserve"> </w:t>
      </w:r>
      <w:r>
        <w:rPr>
          <w:color w:val="auto"/>
          <w:sz w:val="22"/>
        </w:rPr>
        <w:t>in 201</w:t>
      </w:r>
      <w:r w:rsidR="006744C9">
        <w:rPr>
          <w:color w:val="auto"/>
          <w:sz w:val="22"/>
        </w:rPr>
        <w:t>5</w:t>
      </w:r>
      <w:r>
        <w:rPr>
          <w:color w:val="auto"/>
          <w:sz w:val="22"/>
        </w:rPr>
        <w:t>-1</w:t>
      </w:r>
      <w:r w:rsidR="006744C9">
        <w:rPr>
          <w:color w:val="auto"/>
          <w:sz w:val="22"/>
        </w:rPr>
        <w:t>6</w:t>
      </w:r>
      <w:r>
        <w:rPr>
          <w:color w:val="auto"/>
          <w:sz w:val="22"/>
        </w:rPr>
        <w:t xml:space="preserve"> </w:t>
      </w:r>
      <w:r w:rsidRPr="00FB2243">
        <w:rPr>
          <w:color w:val="auto"/>
          <w:sz w:val="22"/>
        </w:rPr>
        <w:t>to 1,</w:t>
      </w:r>
      <w:r w:rsidR="006744C9">
        <w:rPr>
          <w:color w:val="auto"/>
          <w:sz w:val="22"/>
        </w:rPr>
        <w:t>197</w:t>
      </w:r>
      <w:r>
        <w:rPr>
          <w:color w:val="auto"/>
          <w:sz w:val="22"/>
        </w:rPr>
        <w:t xml:space="preserve"> in 201</w:t>
      </w:r>
      <w:r w:rsidR="006744C9">
        <w:rPr>
          <w:color w:val="auto"/>
          <w:sz w:val="22"/>
        </w:rPr>
        <w:t>6</w:t>
      </w:r>
      <w:r>
        <w:rPr>
          <w:color w:val="auto"/>
          <w:sz w:val="22"/>
        </w:rPr>
        <w:t>-1</w:t>
      </w:r>
      <w:r w:rsidR="006744C9">
        <w:rPr>
          <w:color w:val="auto"/>
          <w:sz w:val="22"/>
        </w:rPr>
        <w:t>7</w:t>
      </w:r>
      <w:r w:rsidRPr="00FB2243">
        <w:rPr>
          <w:color w:val="auto"/>
          <w:sz w:val="22"/>
        </w:rPr>
        <w:t xml:space="preserve">. </w:t>
      </w:r>
    </w:p>
    <w:p w14:paraId="1CBE78BA" w14:textId="77777777" w:rsidR="00A45EC7" w:rsidRDefault="00A45EC7" w:rsidP="00A45EC7">
      <w:pPr>
        <w:tabs>
          <w:tab w:val="left" w:pos="1210"/>
          <w:tab w:val="left" w:pos="1982"/>
          <w:tab w:val="left" w:pos="3965"/>
          <w:tab w:val="left" w:pos="5158"/>
          <w:tab w:val="left" w:pos="6132"/>
        </w:tabs>
        <w:autoSpaceDE w:val="0"/>
        <w:autoSpaceDN w:val="0"/>
        <w:adjustRightInd w:val="0"/>
      </w:pPr>
    </w:p>
    <w:p w14:paraId="589E952C" w14:textId="2BE27345" w:rsidR="00A45EC7" w:rsidRPr="00FB2243" w:rsidRDefault="00A45EC7" w:rsidP="00A45EC7">
      <w:pPr>
        <w:autoSpaceDE w:val="0"/>
        <w:autoSpaceDN w:val="0"/>
        <w:adjustRightInd w:val="0"/>
      </w:pPr>
      <w:r w:rsidRPr="00FB2243">
        <w:t>The number of certificates of achievement</w:t>
      </w:r>
      <w:r>
        <w:t xml:space="preserve"> awarded, d</w:t>
      </w:r>
      <w:r w:rsidRPr="00FB2243">
        <w:t>istrict-wide, increased significantly over the last five years</w:t>
      </w:r>
      <w:r>
        <w:t xml:space="preserve"> from 1,</w:t>
      </w:r>
      <w:r w:rsidR="00596505">
        <w:t>940</w:t>
      </w:r>
      <w:r>
        <w:t xml:space="preserve"> in 201</w:t>
      </w:r>
      <w:r w:rsidR="00596505">
        <w:t>2</w:t>
      </w:r>
      <w:r>
        <w:t>-1</w:t>
      </w:r>
      <w:r w:rsidR="00596505">
        <w:t>3</w:t>
      </w:r>
      <w:r>
        <w:t xml:space="preserve"> to 4,</w:t>
      </w:r>
      <w:r w:rsidR="00596505">
        <w:t>491</w:t>
      </w:r>
      <w:r>
        <w:t xml:space="preserve"> in 201</w:t>
      </w:r>
      <w:r w:rsidR="00596505">
        <w:t>6</w:t>
      </w:r>
      <w:r>
        <w:t>-1</w:t>
      </w:r>
      <w:r w:rsidR="00596505">
        <w:t>7</w:t>
      </w:r>
      <w:r w:rsidRPr="00FB2243">
        <w:t xml:space="preserve">. Golden West showed steady increases. </w:t>
      </w:r>
      <w:r w:rsidR="00596505">
        <w:t xml:space="preserve">Coastline showed steady increase </w:t>
      </w:r>
      <w:r w:rsidR="00DB3A6F">
        <w:t xml:space="preserve">with the exception of 2016-17. </w:t>
      </w:r>
      <w:r w:rsidRPr="00FB2243">
        <w:t>Orange Coast’s number of certificates increased dramatically in 2014-15</w:t>
      </w:r>
      <w:r>
        <w:t>, when for the first time, students could receive a CSU Breadth or IGETC certificate</w:t>
      </w:r>
      <w:r w:rsidRPr="00FB2243">
        <w:t xml:space="preserve">. Each college awards local certificates of specialization, which traditionally are not reported to the </w:t>
      </w:r>
      <w:r>
        <w:t>State Chancellor’s Office</w:t>
      </w:r>
      <w:r w:rsidRPr="00FB2243">
        <w:t xml:space="preserve"> and are not reflected in the counts below.</w:t>
      </w:r>
    </w:p>
    <w:p w14:paraId="3BBED09E" w14:textId="77777777" w:rsidR="00A45EC7" w:rsidRDefault="00A45EC7" w:rsidP="00A45EC7">
      <w:pPr>
        <w:tabs>
          <w:tab w:val="left" w:pos="1210"/>
          <w:tab w:val="left" w:pos="1982"/>
          <w:tab w:val="left" w:pos="3965"/>
          <w:tab w:val="left" w:pos="5158"/>
          <w:tab w:val="left" w:pos="6132"/>
        </w:tabs>
        <w:autoSpaceDE w:val="0"/>
        <w:autoSpaceDN w:val="0"/>
        <w:adjustRightInd w:val="0"/>
      </w:pPr>
    </w:p>
    <w:p w14:paraId="3AC92113" w14:textId="050E3FB3" w:rsidR="00A45EC7" w:rsidRPr="00A45EC7" w:rsidRDefault="00A45EC7" w:rsidP="006745A8">
      <w:bookmarkStart w:id="13" w:name="_Toc474236101"/>
      <w:bookmarkStart w:id="14" w:name="_Toc506217389"/>
      <w:r w:rsidRPr="00A45EC7">
        <w:rPr>
          <w:rStyle w:val="Heading1Char"/>
          <w:rFonts w:eastAsia="Calibri"/>
          <w:color w:val="auto"/>
          <w:sz w:val="22"/>
          <w:szCs w:val="22"/>
        </w:rPr>
        <w:t>STUDENT OUTREACH AND RESPONSIVENESS TO THE COMMUNITY</w:t>
      </w:r>
      <w:bookmarkEnd w:id="13"/>
      <w:bookmarkEnd w:id="14"/>
    </w:p>
    <w:p w14:paraId="1F08B910" w14:textId="7F9E765C" w:rsidR="00B27B07" w:rsidRDefault="00B478A7" w:rsidP="00A45EC7">
      <w:pPr>
        <w:tabs>
          <w:tab w:val="left" w:pos="1210"/>
          <w:tab w:val="left" w:pos="1982"/>
          <w:tab w:val="left" w:pos="3965"/>
          <w:tab w:val="left" w:pos="5158"/>
          <w:tab w:val="left" w:pos="6132"/>
        </w:tabs>
        <w:autoSpaceDE w:val="0"/>
        <w:autoSpaceDN w:val="0"/>
        <w:adjustRightInd w:val="0"/>
      </w:pPr>
      <w:r w:rsidRPr="00D04408">
        <w:t xml:space="preserve">In 2012-13, the District chose to pursue a stabilization strategy in order to deal with the potential additional budget cuts had Prop 30 not passed. Thus, the decline in FTES in 2012-13 was a targeted and intentional strategy. Starting in FY 2013-14, the District started restoring classes to fully meet the funded FTES level for which the District qualifies and the resident FTES grew 8.4% compared to FY 2012-13. In spite of the significant increase in classes offered, due to improved economy and increased state budget, in 2014-15 </w:t>
      </w:r>
      <w:r>
        <w:t xml:space="preserve">the District </w:t>
      </w:r>
      <w:r w:rsidRPr="00D04408">
        <w:t xml:space="preserve">would have had to use close to 1,700 resident FTES from summer 2015 to meet its funded base. This would have put the District at significant risk and </w:t>
      </w:r>
      <w:r w:rsidRPr="00D04408">
        <w:rPr>
          <w:rFonts w:cs="Times New Roman"/>
        </w:rPr>
        <w:t>thus the District strategically and proactively decided to enter into stabilization for the 2014-15 fiscal year.</w:t>
      </w:r>
      <w:r w:rsidRPr="00D04408">
        <w:t xml:space="preserve"> In FY 2015-16, the Distric</w:t>
      </w:r>
      <w:r>
        <w:t xml:space="preserve">t had to utilize 555 </w:t>
      </w:r>
      <w:r w:rsidRPr="00D04408">
        <w:t xml:space="preserve">resident FTES from summer 2016 to meet its funded base. </w:t>
      </w:r>
      <w:r>
        <w:t>In FY 2016-17, the District  decided to pursue stabilization again in order preserve all summer 2017 for reporting towards FY 2017-18</w:t>
      </w:r>
    </w:p>
    <w:p w14:paraId="7D2FA67F" w14:textId="77777777" w:rsidR="00B478A7" w:rsidRDefault="00B478A7" w:rsidP="00A45EC7">
      <w:pPr>
        <w:tabs>
          <w:tab w:val="left" w:pos="1210"/>
          <w:tab w:val="left" w:pos="1982"/>
          <w:tab w:val="left" w:pos="3965"/>
          <w:tab w:val="left" w:pos="5158"/>
          <w:tab w:val="left" w:pos="6132"/>
        </w:tabs>
        <w:autoSpaceDE w:val="0"/>
        <w:autoSpaceDN w:val="0"/>
        <w:adjustRightInd w:val="0"/>
      </w:pPr>
    </w:p>
    <w:p w14:paraId="7A7AAE8D" w14:textId="77777777" w:rsidR="00B478A7" w:rsidRPr="00CB442D" w:rsidRDefault="00B478A7" w:rsidP="00B478A7">
      <w:pPr>
        <w:autoSpaceDE w:val="0"/>
        <w:autoSpaceDN w:val="0"/>
        <w:adjustRightInd w:val="0"/>
      </w:pPr>
      <w:r w:rsidRPr="00CB442D">
        <w:t>District-wide, the percentage of Hispanic students continue</w:t>
      </w:r>
      <w:r>
        <w:t>d</w:t>
      </w:r>
      <w:r w:rsidRPr="00CB442D">
        <w:t xml:space="preserve"> to increase while the percentage of Asian and White students decline</w:t>
      </w:r>
      <w:r>
        <w:t>d</w:t>
      </w:r>
      <w:r w:rsidRPr="00CB442D">
        <w:t xml:space="preserve">. </w:t>
      </w:r>
      <w:r w:rsidRPr="00CB442D">
        <w:lastRenderedPageBreak/>
        <w:t xml:space="preserve">Golden West and Orange Coast Colleges are qualified as a federally designated Hispanic Serving Institution. Coastline Community College is qualified as </w:t>
      </w:r>
      <w:r>
        <w:t xml:space="preserve">a </w:t>
      </w:r>
      <w:r w:rsidRPr="00CB442D">
        <w:t>federally designated Asian, Native American, Pacific Islander Serving Institution.</w:t>
      </w:r>
    </w:p>
    <w:p w14:paraId="2CB05376" w14:textId="77777777" w:rsidR="00B27B07" w:rsidRDefault="00B27B07" w:rsidP="00A45EC7">
      <w:pPr>
        <w:tabs>
          <w:tab w:val="left" w:pos="1210"/>
          <w:tab w:val="left" w:pos="1982"/>
          <w:tab w:val="left" w:pos="3965"/>
          <w:tab w:val="left" w:pos="5158"/>
          <w:tab w:val="left" w:pos="6132"/>
        </w:tabs>
        <w:autoSpaceDE w:val="0"/>
        <w:autoSpaceDN w:val="0"/>
        <w:adjustRightInd w:val="0"/>
      </w:pPr>
    </w:p>
    <w:p w14:paraId="66DD08B9" w14:textId="4F8753AE" w:rsidR="00917828" w:rsidRPr="003F09A2" w:rsidRDefault="00917828" w:rsidP="00917828">
      <w:r w:rsidRPr="003F09A2">
        <w:t xml:space="preserve">Overall, the number of economically disadvantaged students (defined as either in EOPS or receiving federal and/or state financial aid) increased by </w:t>
      </w:r>
      <w:r w:rsidR="00955B99">
        <w:t>13</w:t>
      </w:r>
      <w:r w:rsidRPr="003F09A2">
        <w:t>% since 201</w:t>
      </w:r>
      <w:r w:rsidR="00955B99">
        <w:t>2</w:t>
      </w:r>
      <w:r w:rsidRPr="003F09A2">
        <w:t>-1</w:t>
      </w:r>
      <w:r w:rsidR="00955B99">
        <w:t>3</w:t>
      </w:r>
      <w:r w:rsidR="00B478A7">
        <w:t xml:space="preserve"> from 28,292 in 2012-13 to 31,866 in 2016-17</w:t>
      </w:r>
      <w:r w:rsidRPr="003F09A2">
        <w:t xml:space="preserve">. The total dollar amount of financial aid awarded by each college has increased </w:t>
      </w:r>
      <w:r w:rsidR="00955B99">
        <w:t>25</w:t>
      </w:r>
      <w:r w:rsidRPr="003F09A2">
        <w:t>% from $71 million awarded in 201</w:t>
      </w:r>
      <w:r w:rsidR="00955B99">
        <w:t>2</w:t>
      </w:r>
      <w:r w:rsidRPr="003F09A2">
        <w:t>-1</w:t>
      </w:r>
      <w:r w:rsidR="00955B99">
        <w:t>3</w:t>
      </w:r>
      <w:r w:rsidRPr="003F09A2">
        <w:t xml:space="preserve"> to </w:t>
      </w:r>
      <w:r w:rsidR="00955B99">
        <w:t>just over</w:t>
      </w:r>
      <w:r w:rsidRPr="003F09A2">
        <w:t xml:space="preserve"> $8</w:t>
      </w:r>
      <w:r w:rsidR="00955B99">
        <w:t>8</w:t>
      </w:r>
      <w:r w:rsidRPr="003F09A2">
        <w:t xml:space="preserve"> million awarded in 201</w:t>
      </w:r>
      <w:r w:rsidR="00955B99">
        <w:t>6</w:t>
      </w:r>
      <w:r w:rsidRPr="003F09A2">
        <w:t>-1</w:t>
      </w:r>
      <w:r w:rsidR="00955B99">
        <w:t>7</w:t>
      </w:r>
      <w:r w:rsidRPr="003F09A2">
        <w:t>. This increase is reflective of the increase in the number of students who applied and qualified for financial aid as well as changes in federal regulations that increased the level of income that allows students to qualify for Pell grants.</w:t>
      </w:r>
    </w:p>
    <w:p w14:paraId="41B09710" w14:textId="77777777" w:rsidR="00A45EC7" w:rsidRPr="00A45EC7" w:rsidRDefault="00A45EC7" w:rsidP="00A45EC7">
      <w:pPr>
        <w:tabs>
          <w:tab w:val="left" w:pos="1210"/>
          <w:tab w:val="left" w:pos="1982"/>
          <w:tab w:val="left" w:pos="3965"/>
          <w:tab w:val="left" w:pos="5158"/>
          <w:tab w:val="left" w:pos="6132"/>
        </w:tabs>
        <w:autoSpaceDE w:val="0"/>
        <w:autoSpaceDN w:val="0"/>
        <w:adjustRightInd w:val="0"/>
      </w:pPr>
    </w:p>
    <w:p w14:paraId="1EF22831" w14:textId="58C9A735" w:rsidR="00A45EC7" w:rsidRPr="00B702D3" w:rsidRDefault="00A45EC7" w:rsidP="00A45EC7">
      <w:pPr>
        <w:keepNext/>
      </w:pPr>
      <w:r>
        <w:t>There are numerous district-wide and college specific efforts, initiatives and strategies under way to improve student success and serve our students and the community. These are described in the report.</w:t>
      </w:r>
    </w:p>
    <w:p w14:paraId="28126A97" w14:textId="77777777" w:rsidR="00A45EC7" w:rsidRPr="00B702D3" w:rsidRDefault="00A45EC7" w:rsidP="00A45EC7"/>
    <w:p w14:paraId="2AD5C48D" w14:textId="525419A9" w:rsidR="00A45EC7" w:rsidRPr="00D007ED" w:rsidRDefault="00D007ED" w:rsidP="006745A8">
      <w:bookmarkStart w:id="15" w:name="_Toc474236102"/>
      <w:bookmarkStart w:id="16" w:name="_Toc506217390"/>
      <w:r w:rsidRPr="00D007ED">
        <w:rPr>
          <w:rStyle w:val="Heading1Char"/>
          <w:rFonts w:eastAsia="Calibri"/>
          <w:color w:val="auto"/>
          <w:sz w:val="22"/>
          <w:szCs w:val="22"/>
        </w:rPr>
        <w:t>FACULTY, STAFF AND ADMINISTRATORS/MANAGERS</w:t>
      </w:r>
      <w:bookmarkEnd w:id="15"/>
      <w:bookmarkEnd w:id="16"/>
    </w:p>
    <w:p w14:paraId="1E4F8651" w14:textId="7788127F" w:rsidR="00D007ED" w:rsidRPr="002E676C" w:rsidRDefault="00D007ED" w:rsidP="00D007ED">
      <w:pPr>
        <w:tabs>
          <w:tab w:val="left" w:pos="1210"/>
          <w:tab w:val="left" w:pos="1982"/>
          <w:tab w:val="left" w:pos="3965"/>
          <w:tab w:val="left" w:pos="5158"/>
          <w:tab w:val="left" w:pos="6132"/>
        </w:tabs>
        <w:autoSpaceDE w:val="0"/>
        <w:autoSpaceDN w:val="0"/>
        <w:adjustRightInd w:val="0"/>
      </w:pPr>
      <w:r w:rsidRPr="007A5F2B">
        <w:t xml:space="preserve">Strong budgets since 2012 </w:t>
      </w:r>
      <w:r>
        <w:t xml:space="preserve">and a significant infusion of revenue from categorical funds and grants </w:t>
      </w:r>
      <w:r w:rsidRPr="007A5F2B">
        <w:t xml:space="preserve">have contributed to </w:t>
      </w:r>
      <w:r>
        <w:t xml:space="preserve">an </w:t>
      </w:r>
      <w:r w:rsidRPr="007A5F2B">
        <w:t xml:space="preserve">increase </w:t>
      </w:r>
      <w:r>
        <w:t xml:space="preserve">in </w:t>
      </w:r>
      <w:r w:rsidRPr="007A5F2B">
        <w:t>hiring across all employee groups. District-wide, the number of permanent</w:t>
      </w:r>
      <w:r>
        <w:t xml:space="preserve"> full-time</w:t>
      </w:r>
      <w:r w:rsidRPr="007A5F2B">
        <w:t xml:space="preserve"> </w:t>
      </w:r>
      <w:r w:rsidR="009B2AC0">
        <w:t xml:space="preserve">faculty increased by a net of </w:t>
      </w:r>
      <w:r w:rsidR="00763300">
        <w:t>39</w:t>
      </w:r>
      <w:r w:rsidRPr="007A5F2B">
        <w:t xml:space="preserve"> over the last five years</w:t>
      </w:r>
      <w:r w:rsidR="009B2AC0">
        <w:t xml:space="preserve"> from 412 in fall 2012 to 451 in fall 2016</w:t>
      </w:r>
      <w:r w:rsidRPr="007A5F2B">
        <w:t xml:space="preserve">. The number of </w:t>
      </w:r>
      <w:r w:rsidR="009B2AC0">
        <w:t xml:space="preserve">regular </w:t>
      </w:r>
      <w:r w:rsidRPr="007A5F2B">
        <w:t>classified/confid</w:t>
      </w:r>
      <w:r w:rsidR="009B2AC0">
        <w:t>ential employees increased by 44 over the last five years from 692 in fall 2012 to 736 in fall 2016</w:t>
      </w:r>
      <w:r w:rsidRPr="007A5F2B">
        <w:t xml:space="preserve">. The educational </w:t>
      </w:r>
      <w:r w:rsidRPr="002E676C">
        <w:t>administrato</w:t>
      </w:r>
      <w:r>
        <w:t>rs and classified managers i</w:t>
      </w:r>
      <w:r w:rsidRPr="002E676C">
        <w:t xml:space="preserve">ncreased by </w:t>
      </w:r>
      <w:r>
        <w:t>2</w:t>
      </w:r>
      <w:r w:rsidR="009B2AC0">
        <w:t>4</w:t>
      </w:r>
      <w:r w:rsidRPr="002E676C">
        <w:t xml:space="preserve"> </w:t>
      </w:r>
      <w:r w:rsidR="009B2AC0">
        <w:t>over the last five years from 120 in fall 2012 to 144 in fall 2016</w:t>
      </w:r>
      <w:r w:rsidRPr="002E676C">
        <w:t>.</w:t>
      </w:r>
    </w:p>
    <w:p w14:paraId="3FD47121" w14:textId="16B2D2DC" w:rsidR="00A45EC7" w:rsidRDefault="00A45EC7" w:rsidP="002E794B"/>
    <w:p w14:paraId="1553E0D7" w14:textId="4C7CE657" w:rsidR="00B60A1E" w:rsidRPr="00B9765D" w:rsidRDefault="00B60A1E" w:rsidP="00B60A1E">
      <w:pPr>
        <w:autoSpaceDE w:val="0"/>
        <w:autoSpaceDN w:val="0"/>
        <w:adjustRightInd w:val="0"/>
      </w:pPr>
      <w:r w:rsidRPr="00B9765D">
        <w:t xml:space="preserve">The District-wide Strategic Plan 2014-17, approved by the </w:t>
      </w:r>
      <w:r>
        <w:t>Board in November 2014, included</w:t>
      </w:r>
      <w:r w:rsidRPr="00B9765D">
        <w:t xml:space="preserve"> the goal of providing the appropriate number of full</w:t>
      </w:r>
      <w:r w:rsidRPr="00B9765D">
        <w:rPr>
          <w:rFonts w:ascii="Cambria Math" w:hAnsi="Cambria Math" w:cs="Cambria Math"/>
        </w:rPr>
        <w:t>‐</w:t>
      </w:r>
      <w:r w:rsidRPr="00B9765D">
        <w:t>time faculty needed by the colleges and established the commitment that the District will have at a minimum a number of full-</w:t>
      </w:r>
      <w:r w:rsidRPr="00B9765D">
        <w:lastRenderedPageBreak/>
        <w:t>time faculty of 2% above FON ev</w:t>
      </w:r>
      <w:r>
        <w:t>ery fiscal year. This target was</w:t>
      </w:r>
      <w:r w:rsidRPr="00B9765D">
        <w:t xml:space="preserve"> </w:t>
      </w:r>
      <w:r>
        <w:t>exceeded</w:t>
      </w:r>
      <w:r w:rsidRPr="00B9765D">
        <w:t xml:space="preserve"> </w:t>
      </w:r>
      <w:r>
        <w:t>through 2015-16, was not met in 2016-17, and is exceeded in 2017-18.</w:t>
      </w:r>
    </w:p>
    <w:p w14:paraId="6EE38E3E" w14:textId="77777777" w:rsidR="00D007ED" w:rsidRDefault="00D007ED" w:rsidP="00D007ED">
      <w:pPr>
        <w:autoSpaceDE w:val="0"/>
        <w:autoSpaceDN w:val="0"/>
        <w:adjustRightInd w:val="0"/>
      </w:pPr>
    </w:p>
    <w:p w14:paraId="2AD4D45D" w14:textId="41E3C6BB" w:rsidR="00D007ED" w:rsidRDefault="00D007ED" w:rsidP="00D007ED">
      <w:pPr>
        <w:autoSpaceDE w:val="0"/>
        <w:autoSpaceDN w:val="0"/>
        <w:adjustRightInd w:val="0"/>
        <w:rPr>
          <w:b/>
        </w:rPr>
      </w:pPr>
      <w:r w:rsidRPr="00D007ED">
        <w:rPr>
          <w:b/>
        </w:rPr>
        <w:t>FISCAL SUPPORT</w:t>
      </w:r>
    </w:p>
    <w:p w14:paraId="744F6D7E" w14:textId="7C520ADA" w:rsidR="00D007ED" w:rsidRPr="00190F7A" w:rsidRDefault="00B60A1E" w:rsidP="00D007ED">
      <w:pPr>
        <w:rPr>
          <w:highlight w:val="yellow"/>
        </w:rPr>
      </w:pPr>
      <w:r>
        <w:t>The District ended FY 2016-17</w:t>
      </w:r>
      <w:r w:rsidR="00D007ED" w:rsidRPr="00190F7A">
        <w:t xml:space="preserve"> with a strong fund balance. The ability to maintain a prudent reserve has continued to provide cash flow stability for the District without external borrowing. Health and welfare benefit costs continue to rise and are being monitored. Additional funds were set aside to fund the future retiree benefits liability. Over $65 million has been set aside to meet the District’s liability of approximately $116 million</w:t>
      </w:r>
      <w:r w:rsidR="00D007ED" w:rsidRPr="00190F7A">
        <w:rPr>
          <w:rFonts w:ascii="Times New Roman" w:hAnsi="Times New Roman" w:cs="Times New Roman"/>
          <w:sz w:val="24"/>
          <w:szCs w:val="24"/>
        </w:rPr>
        <w:t>.</w:t>
      </w:r>
    </w:p>
    <w:p w14:paraId="2C131D15" w14:textId="77777777" w:rsidR="00D007ED" w:rsidRDefault="00D007ED" w:rsidP="00D007ED">
      <w:pPr>
        <w:autoSpaceDE w:val="0"/>
        <w:autoSpaceDN w:val="0"/>
        <w:adjustRightInd w:val="0"/>
        <w:spacing w:line="240" w:lineRule="auto"/>
      </w:pPr>
    </w:p>
    <w:p w14:paraId="441AF88C" w14:textId="77777777" w:rsidR="00252BF0" w:rsidRDefault="00B60A1E" w:rsidP="00252BF0">
      <w:r w:rsidRPr="00D302B5">
        <w:t xml:space="preserve">Total general fund balances as a percentage of total unrestricted general fund expenses </w:t>
      </w:r>
      <w:r>
        <w:t>de</w:t>
      </w:r>
      <w:r w:rsidRPr="00D302B5">
        <w:t xml:space="preserve">creased from </w:t>
      </w:r>
      <w:r>
        <w:t>22.51</w:t>
      </w:r>
      <w:r w:rsidRPr="00D302B5">
        <w:t>% in 201</w:t>
      </w:r>
      <w:r>
        <w:t>2</w:t>
      </w:r>
      <w:r w:rsidRPr="00D302B5">
        <w:t>-1</w:t>
      </w:r>
      <w:r>
        <w:t>3</w:t>
      </w:r>
      <w:r w:rsidRPr="00D302B5">
        <w:t xml:space="preserve"> to</w:t>
      </w:r>
      <w:r>
        <w:t xml:space="preserve"> 18.60</w:t>
      </w:r>
      <w:r w:rsidRPr="00D302B5">
        <w:t>% in 201</w:t>
      </w:r>
      <w:r>
        <w:t>6</w:t>
      </w:r>
      <w:r w:rsidRPr="00D302B5">
        <w:t>-1</w:t>
      </w:r>
      <w:r>
        <w:t>7. F</w:t>
      </w:r>
      <w:r w:rsidRPr="00D302B5">
        <w:t>ollowing Board Policy 6200, the Adopted Budget reflects an Unrestricted General Reserve of 5% and a Reserve for Contingency of 3%, for a total of $17.</w:t>
      </w:r>
      <w:r>
        <w:t>6</w:t>
      </w:r>
      <w:r w:rsidRPr="00D302B5">
        <w:t xml:space="preserve"> million, or 8% of the prior year unrestricted general fund expense.</w:t>
      </w:r>
      <w:r w:rsidR="00252BF0">
        <w:t xml:space="preserve"> A recent change to Board Policy now requires a 10% budgetary reserve.  </w:t>
      </w:r>
    </w:p>
    <w:p w14:paraId="21F4A362" w14:textId="77777777" w:rsidR="00D007ED" w:rsidRDefault="00D007ED" w:rsidP="00D007ED">
      <w:pPr>
        <w:keepNext/>
        <w:autoSpaceDE w:val="0"/>
        <w:autoSpaceDN w:val="0"/>
        <w:adjustRightInd w:val="0"/>
      </w:pPr>
    </w:p>
    <w:p w14:paraId="0642C6BE" w14:textId="7C27957B" w:rsidR="00D007ED" w:rsidRDefault="00D007ED" w:rsidP="00D007ED">
      <w:pPr>
        <w:keepNext/>
        <w:autoSpaceDE w:val="0"/>
        <w:autoSpaceDN w:val="0"/>
        <w:adjustRightInd w:val="0"/>
      </w:pPr>
      <w:r w:rsidRPr="00493042">
        <w:t xml:space="preserve">For the past five years, unrestricted </w:t>
      </w:r>
      <w:r>
        <w:t>salaries, benefits and fixed costs</w:t>
      </w:r>
      <w:r w:rsidRPr="00493042">
        <w:t xml:space="preserve"> </w:t>
      </w:r>
      <w:r>
        <w:t xml:space="preserve">have </w:t>
      </w:r>
      <w:r w:rsidR="00B60A1E">
        <w:t>fluctuated between 81.2% and 91.5%</w:t>
      </w:r>
      <w:r>
        <w:t xml:space="preserve"> of </w:t>
      </w:r>
      <w:r w:rsidRPr="00493042">
        <w:t xml:space="preserve">the total unrestricted general fund revenues, </w:t>
      </w:r>
      <w:r>
        <w:t>which leaves the District to rely on reserves or other funds to maintain and/or upgrade the infrastructure of its facilities.</w:t>
      </w:r>
      <w:r w:rsidR="00B60A1E">
        <w:t xml:space="preserve"> In 2016-17, </w:t>
      </w:r>
      <w:r w:rsidR="00B60A1E" w:rsidRPr="00493042">
        <w:t xml:space="preserve">unrestricted </w:t>
      </w:r>
      <w:r w:rsidR="00B60A1E">
        <w:t xml:space="preserve">salaries, benefits and fixed costs represented 87% of </w:t>
      </w:r>
      <w:r w:rsidR="00B60A1E" w:rsidRPr="00493042">
        <w:t>the total unrestricted general fund revenues</w:t>
      </w:r>
      <w:r w:rsidR="00B60A1E">
        <w:t>.</w:t>
      </w:r>
    </w:p>
    <w:p w14:paraId="2D1DAB70" w14:textId="77777777" w:rsidR="00F52A88" w:rsidRDefault="00F52A88" w:rsidP="00D007ED">
      <w:pPr>
        <w:keepNext/>
        <w:autoSpaceDE w:val="0"/>
        <w:autoSpaceDN w:val="0"/>
        <w:adjustRightInd w:val="0"/>
      </w:pPr>
    </w:p>
    <w:p w14:paraId="403F4EF6" w14:textId="77777777" w:rsidR="00F52A88" w:rsidRPr="00D70213" w:rsidRDefault="00F52A88" w:rsidP="00D70213">
      <w:pPr>
        <w:rPr>
          <w:b/>
        </w:rPr>
      </w:pPr>
      <w:r w:rsidRPr="00D70213">
        <w:rPr>
          <w:b/>
        </w:rPr>
        <w:t>FACILITIES</w:t>
      </w:r>
    </w:p>
    <w:p w14:paraId="4DC471F2" w14:textId="0FA63896" w:rsidR="00F52A88" w:rsidRDefault="00F52A88" w:rsidP="00F52A88">
      <w:r w:rsidRPr="00190F7A">
        <w:t xml:space="preserve">On November 6, 2012, the District voters approved and authorized the issuance and sale of $698 million principal amount of Measure M general obligation bonds of the District. Proceeds from the sale of the bonds are to be used to finance the construction, acquisition, and modernization of District facilities.  On October 24, 2014, Standard &amp; </w:t>
      </w:r>
      <w:r w:rsidRPr="00190F7A">
        <w:lastRenderedPageBreak/>
        <w:t>Poor’s long-term and underlying rating of the District’s previously issued general obligation (GO) bonds was raised from “AA-“ to “AA”, reflecting their view of the District's maintenance of improved and very strong reserves and its large, diverse, and affluent taxpayer base. At the same time, Standard &amp; Poor’s raised its rating from "AA-" to "A+" for California Community College Financing Authority's series 2011A lease revenue bond. The outlook on all ratings</w:t>
      </w:r>
      <w:r w:rsidR="00394881">
        <w:t xml:space="preserve"> is stable.  </w:t>
      </w:r>
    </w:p>
    <w:p w14:paraId="76D58A16" w14:textId="77777777" w:rsidR="00394881" w:rsidRPr="00190F7A" w:rsidRDefault="00394881" w:rsidP="00F52A88"/>
    <w:p w14:paraId="6646ABF2" w14:textId="75A31582" w:rsidR="00F52A88" w:rsidRPr="00493042" w:rsidRDefault="00394881" w:rsidP="00394881">
      <w:r>
        <w:t>As of June 30, 2017</w:t>
      </w:r>
      <w:r w:rsidR="00F52A88" w:rsidRPr="00190F7A">
        <w:t>, the District had over $</w:t>
      </w:r>
      <w:r>
        <w:t>512</w:t>
      </w:r>
      <w:r w:rsidR="00F52A88" w:rsidRPr="00190F7A">
        <w:t xml:space="preserve"> million invested in net capital assets</w:t>
      </w:r>
      <w:r>
        <w:t>.</w:t>
      </w:r>
      <w:r w:rsidRPr="00394881">
        <w:t xml:space="preserve"> </w:t>
      </w:r>
      <w:r>
        <w:t>Total capital assets of $823 million consist of land, buildings and building improvements, vehicles, data processing equipment and other office equipment; these assets have accumulated depreciation of $311 million. New additions for construction and equipment of $61.0 million occurred during 2016-17, and depreciation expense of $21.7 million was recorded for the fiscal year. Construction in progress of $16.7 million was completed and placed into service as buildings and site improvements</w:t>
      </w:r>
    </w:p>
    <w:p w14:paraId="353D2860" w14:textId="77777777" w:rsidR="00D007ED" w:rsidRPr="00D007ED" w:rsidRDefault="00D007ED" w:rsidP="00D007ED">
      <w:pPr>
        <w:autoSpaceDE w:val="0"/>
        <w:autoSpaceDN w:val="0"/>
        <w:adjustRightInd w:val="0"/>
        <w:rPr>
          <w:b/>
        </w:rPr>
      </w:pPr>
    </w:p>
    <w:p w14:paraId="198B290A" w14:textId="77777777" w:rsidR="00D007ED" w:rsidRPr="00266147" w:rsidRDefault="00D007ED" w:rsidP="002E794B"/>
    <w:p w14:paraId="235F0B43" w14:textId="103FCF1A" w:rsidR="002E794B" w:rsidRPr="001249F8" w:rsidRDefault="002E794B" w:rsidP="001249F8"/>
    <w:p w14:paraId="5058699C" w14:textId="77777777" w:rsidR="00B819E8" w:rsidRDefault="00B819E8">
      <w:pPr>
        <w:rPr>
          <w:rFonts w:asciiTheme="majorHAnsi" w:eastAsiaTheme="majorEastAsia" w:hAnsiTheme="majorHAnsi" w:cstheme="majorBidi"/>
          <w:b/>
          <w:bCs/>
          <w:sz w:val="28"/>
          <w:szCs w:val="28"/>
        </w:rPr>
      </w:pPr>
      <w:r>
        <w:br w:type="page"/>
      </w:r>
    </w:p>
    <w:p w14:paraId="0F9D5DD6" w14:textId="02C8119D" w:rsidR="00BD409A" w:rsidRPr="003211A6" w:rsidRDefault="00BD409A" w:rsidP="00AC7A0F">
      <w:pPr>
        <w:pStyle w:val="Heading1"/>
        <w:rPr>
          <w:color w:val="auto"/>
        </w:rPr>
      </w:pPr>
      <w:bookmarkStart w:id="17" w:name="_Toc506217391"/>
      <w:r w:rsidRPr="003211A6">
        <w:rPr>
          <w:color w:val="auto"/>
        </w:rPr>
        <w:lastRenderedPageBreak/>
        <w:t>CHAPTER I</w:t>
      </w:r>
      <w:r w:rsidR="00597576" w:rsidRPr="003211A6">
        <w:rPr>
          <w:color w:val="auto"/>
        </w:rPr>
        <w:t xml:space="preserve">: </w:t>
      </w:r>
      <w:r w:rsidRPr="003211A6">
        <w:rPr>
          <w:color w:val="auto"/>
        </w:rPr>
        <w:t>STUDENT LEARNING, ACHIEVEMENT</w:t>
      </w:r>
      <w:r w:rsidR="005E12D1" w:rsidRPr="003211A6">
        <w:rPr>
          <w:color w:val="auto"/>
        </w:rPr>
        <w:t xml:space="preserve"> </w:t>
      </w:r>
      <w:r w:rsidRPr="003211A6">
        <w:rPr>
          <w:color w:val="auto"/>
        </w:rPr>
        <w:t>AND DEVELOPMENT</w:t>
      </w:r>
      <w:bookmarkEnd w:id="4"/>
      <w:bookmarkEnd w:id="5"/>
      <w:bookmarkEnd w:id="6"/>
      <w:bookmarkEnd w:id="7"/>
      <w:bookmarkEnd w:id="8"/>
      <w:bookmarkEnd w:id="9"/>
      <w:bookmarkEnd w:id="10"/>
      <w:bookmarkEnd w:id="11"/>
      <w:bookmarkEnd w:id="17"/>
    </w:p>
    <w:p w14:paraId="0F9D5DD7" w14:textId="77777777" w:rsidR="00BD409A" w:rsidRPr="003211A6" w:rsidRDefault="00BD409A" w:rsidP="00BD409A">
      <w:pPr>
        <w:autoSpaceDE w:val="0"/>
        <w:autoSpaceDN w:val="0"/>
        <w:adjustRightInd w:val="0"/>
        <w:rPr>
          <w:sz w:val="12"/>
          <w:szCs w:val="12"/>
        </w:rPr>
      </w:pPr>
    </w:p>
    <w:p w14:paraId="0F9D5DD8" w14:textId="72997BE1" w:rsidR="00BD409A" w:rsidRPr="003211A6" w:rsidRDefault="00D27AFA" w:rsidP="00BE56FE">
      <w:pPr>
        <w:pStyle w:val="Heading2"/>
        <w:rPr>
          <w:color w:val="auto"/>
          <w:sz w:val="20"/>
        </w:rPr>
      </w:pPr>
      <w:bookmarkStart w:id="18" w:name="_Toc506217392"/>
      <w:r w:rsidRPr="003211A6">
        <w:rPr>
          <w:color w:val="auto"/>
        </w:rPr>
        <w:t>Student Success Scorecard</w:t>
      </w:r>
      <w:bookmarkEnd w:id="18"/>
    </w:p>
    <w:p w14:paraId="151C998D" w14:textId="1AD09D47" w:rsidR="00F0288A" w:rsidRPr="003211A6" w:rsidRDefault="00290736" w:rsidP="0020267E">
      <w:r w:rsidRPr="003211A6">
        <w:t xml:space="preserve">In response to AB 1417 (2004, Pacheco), </w:t>
      </w:r>
      <w:r w:rsidRPr="003211A6">
        <w:rPr>
          <w:i/>
          <w:iCs/>
        </w:rPr>
        <w:t>Performance Framework for the Community Colleges,</w:t>
      </w:r>
      <w:r w:rsidRPr="003211A6">
        <w:t xml:space="preserve"> the California Community Colleges Chancellor’s Office (CCCCO) developed a framework of ac</w:t>
      </w:r>
      <w:r w:rsidR="00D27AFA" w:rsidRPr="003211A6">
        <w:t xml:space="preserve">countability formally known as </w:t>
      </w:r>
      <w:r w:rsidRPr="003211A6">
        <w:t>Accountability Reporting for the Community Colleges (ARCC).</w:t>
      </w:r>
      <w:r w:rsidR="00D27AFA" w:rsidRPr="003211A6">
        <w:t xml:space="preserve"> In 201</w:t>
      </w:r>
      <w:r w:rsidR="007E41B9" w:rsidRPr="003211A6">
        <w:t>3</w:t>
      </w:r>
      <w:r w:rsidR="00D27AFA" w:rsidRPr="003211A6">
        <w:t>, this framework evolved into the Student Success Scorecard.</w:t>
      </w:r>
      <w:r w:rsidR="007F4B5D" w:rsidRPr="003211A6">
        <w:t xml:space="preserve"> </w:t>
      </w:r>
      <w:r w:rsidRPr="003211A6">
        <w:t xml:space="preserve">The primary focus of this assessment is tracking the success of students in meeting their educational goals. The </w:t>
      </w:r>
      <w:r w:rsidR="00D27AFA" w:rsidRPr="003211A6">
        <w:t>Scorecard</w:t>
      </w:r>
      <w:r w:rsidRPr="003211A6">
        <w:t xml:space="preserve"> is published </w:t>
      </w:r>
      <w:r w:rsidR="00D27AFA" w:rsidRPr="003211A6">
        <w:t>annually</w:t>
      </w:r>
      <w:r w:rsidRPr="003211A6">
        <w:t xml:space="preserve"> by the Chancellor’s Office. The </w:t>
      </w:r>
      <w:r w:rsidR="00FB0012" w:rsidRPr="003211A6">
        <w:t>data</w:t>
      </w:r>
      <w:r w:rsidRPr="003211A6">
        <w:t xml:space="preserve"> </w:t>
      </w:r>
      <w:r w:rsidR="00FB0012" w:rsidRPr="003211A6">
        <w:t>shows the results</w:t>
      </w:r>
      <w:r w:rsidRPr="003211A6">
        <w:t xml:space="preserve"> </w:t>
      </w:r>
      <w:r w:rsidR="00FB0012" w:rsidRPr="003211A6">
        <w:t xml:space="preserve">disaggregated by level of preparedness and </w:t>
      </w:r>
      <w:r w:rsidRPr="003211A6">
        <w:t xml:space="preserve">demographic factors. The results from </w:t>
      </w:r>
      <w:r w:rsidRPr="009D6291">
        <w:t>the 201</w:t>
      </w:r>
      <w:r w:rsidR="002509D8" w:rsidRPr="009D6291">
        <w:t>7</w:t>
      </w:r>
      <w:r w:rsidRPr="009D6291">
        <w:t xml:space="preserve"> </w:t>
      </w:r>
      <w:r w:rsidR="00FB0012" w:rsidRPr="003211A6">
        <w:t>Scorecard are</w:t>
      </w:r>
      <w:r w:rsidRPr="003211A6">
        <w:t xml:space="preserve"> presented below.  </w:t>
      </w:r>
    </w:p>
    <w:p w14:paraId="557AB0DE" w14:textId="77777777" w:rsidR="00F0288A" w:rsidRPr="00B9364B" w:rsidRDefault="00F0288A" w:rsidP="0020267E">
      <w:pPr>
        <w:rPr>
          <w:color w:val="FF0000"/>
        </w:rPr>
      </w:pPr>
    </w:p>
    <w:p w14:paraId="727C558E" w14:textId="13054EFE" w:rsidR="00A3652F" w:rsidRPr="009D6291" w:rsidRDefault="00CB340C" w:rsidP="00A3652F">
      <w:pPr>
        <w:rPr>
          <w:rFonts w:cs="Arial"/>
        </w:rPr>
      </w:pPr>
      <w:r w:rsidRPr="003211A6">
        <w:rPr>
          <w:rFonts w:cs="Arial"/>
        </w:rPr>
        <w:t xml:space="preserve">Looking across all of </w:t>
      </w:r>
      <w:r w:rsidRPr="009D6291">
        <w:rPr>
          <w:rFonts w:cs="Arial"/>
        </w:rPr>
        <w:t>the 201</w:t>
      </w:r>
      <w:r w:rsidR="002509D8" w:rsidRPr="009D6291">
        <w:rPr>
          <w:rFonts w:cs="Arial"/>
        </w:rPr>
        <w:t>7</w:t>
      </w:r>
      <w:r w:rsidR="00A3652F" w:rsidRPr="009D6291">
        <w:rPr>
          <w:rFonts w:cs="Arial"/>
        </w:rPr>
        <w:t xml:space="preserve"> Scorecard meas</w:t>
      </w:r>
      <w:r w:rsidRPr="009D6291">
        <w:rPr>
          <w:rFonts w:cs="Arial"/>
        </w:rPr>
        <w:t xml:space="preserve">ures, </w:t>
      </w:r>
      <w:r w:rsidR="00A3652F" w:rsidRPr="009D6291">
        <w:rPr>
          <w:rFonts w:cs="Arial"/>
        </w:rPr>
        <w:t xml:space="preserve">Orange Coast College </w:t>
      </w:r>
      <w:r w:rsidR="00276E00" w:rsidRPr="009D6291">
        <w:rPr>
          <w:rFonts w:cs="Arial"/>
        </w:rPr>
        <w:t>is</w:t>
      </w:r>
      <w:r w:rsidR="00A3652F" w:rsidRPr="009D6291">
        <w:rPr>
          <w:rFonts w:cs="Arial"/>
        </w:rPr>
        <w:t xml:space="preserve"> above statewide </w:t>
      </w:r>
      <w:r w:rsidR="00276E00" w:rsidRPr="009D6291">
        <w:rPr>
          <w:rFonts w:cs="Arial"/>
        </w:rPr>
        <w:t xml:space="preserve">average </w:t>
      </w:r>
      <w:r w:rsidR="00A3652F" w:rsidRPr="009D6291">
        <w:rPr>
          <w:rFonts w:cs="Arial"/>
        </w:rPr>
        <w:t>rates on every measure and ha</w:t>
      </w:r>
      <w:r w:rsidR="00276E00" w:rsidRPr="009D6291">
        <w:rPr>
          <w:rFonts w:cs="Arial"/>
        </w:rPr>
        <w:t>s</w:t>
      </w:r>
      <w:r w:rsidR="00A3652F" w:rsidRPr="009D6291">
        <w:rPr>
          <w:rFonts w:cs="Arial"/>
        </w:rPr>
        <w:t xml:space="preserve"> the highest rates within the</w:t>
      </w:r>
      <w:r w:rsidRPr="009D6291">
        <w:rPr>
          <w:rFonts w:cs="Arial"/>
        </w:rPr>
        <w:t xml:space="preserve"> District for all measures</w:t>
      </w:r>
      <w:r w:rsidR="00A3652F" w:rsidRPr="009D6291">
        <w:rPr>
          <w:rFonts w:cs="Arial"/>
        </w:rPr>
        <w:t xml:space="preserve">. Golden West College </w:t>
      </w:r>
      <w:r w:rsidR="00276E00" w:rsidRPr="009D6291">
        <w:rPr>
          <w:rFonts w:cs="Arial"/>
        </w:rPr>
        <w:t>is</w:t>
      </w:r>
      <w:r w:rsidR="00A3652F" w:rsidRPr="009D6291">
        <w:rPr>
          <w:rFonts w:cs="Arial"/>
        </w:rPr>
        <w:t xml:space="preserve"> at or above statewide</w:t>
      </w:r>
      <w:r w:rsidR="00276E00" w:rsidRPr="009D6291">
        <w:rPr>
          <w:rFonts w:cs="Arial"/>
        </w:rPr>
        <w:t xml:space="preserve"> average</w:t>
      </w:r>
      <w:r w:rsidR="00A3652F" w:rsidRPr="009D6291">
        <w:rPr>
          <w:rFonts w:cs="Arial"/>
        </w:rPr>
        <w:t xml:space="preserve"> </w:t>
      </w:r>
      <w:r w:rsidR="008F131B" w:rsidRPr="009D6291">
        <w:rPr>
          <w:rFonts w:cs="Arial"/>
        </w:rPr>
        <w:t>rates</w:t>
      </w:r>
      <w:r w:rsidR="002509D8" w:rsidRPr="009D6291">
        <w:rPr>
          <w:rFonts w:cs="Arial"/>
        </w:rPr>
        <w:t xml:space="preserve"> on all but two</w:t>
      </w:r>
      <w:r w:rsidR="00A3652F" w:rsidRPr="009D6291">
        <w:rPr>
          <w:rFonts w:cs="Arial"/>
        </w:rPr>
        <w:t xml:space="preserve"> measure</w:t>
      </w:r>
      <w:r w:rsidR="002509D8" w:rsidRPr="009D6291">
        <w:rPr>
          <w:rFonts w:cs="Arial"/>
        </w:rPr>
        <w:t>s</w:t>
      </w:r>
      <w:r w:rsidR="00A3652F" w:rsidRPr="009D6291">
        <w:rPr>
          <w:rFonts w:cs="Arial"/>
        </w:rPr>
        <w:t xml:space="preserve"> – Remedial </w:t>
      </w:r>
      <w:r w:rsidR="002509D8" w:rsidRPr="009D6291">
        <w:rPr>
          <w:rFonts w:cs="Arial"/>
        </w:rPr>
        <w:t>ESL and Skills Builder</w:t>
      </w:r>
      <w:r w:rsidR="00A3652F" w:rsidRPr="009D6291">
        <w:rPr>
          <w:rFonts w:cs="Arial"/>
        </w:rPr>
        <w:t xml:space="preserve">. Coastline Community College </w:t>
      </w:r>
      <w:r w:rsidR="00276E00" w:rsidRPr="009D6291">
        <w:rPr>
          <w:rFonts w:cs="Arial"/>
        </w:rPr>
        <w:t>is</w:t>
      </w:r>
      <w:r w:rsidRPr="009D6291">
        <w:rPr>
          <w:rFonts w:cs="Arial"/>
        </w:rPr>
        <w:t xml:space="preserve"> </w:t>
      </w:r>
      <w:r w:rsidR="003211A6" w:rsidRPr="009D6291">
        <w:rPr>
          <w:rFonts w:cs="Arial"/>
        </w:rPr>
        <w:t xml:space="preserve">at or </w:t>
      </w:r>
      <w:r w:rsidRPr="009D6291">
        <w:rPr>
          <w:rFonts w:cs="Arial"/>
        </w:rPr>
        <w:t xml:space="preserve">above statewide </w:t>
      </w:r>
      <w:r w:rsidR="00276E00" w:rsidRPr="009D6291">
        <w:rPr>
          <w:rFonts w:cs="Arial"/>
        </w:rPr>
        <w:t xml:space="preserve">average </w:t>
      </w:r>
      <w:r w:rsidRPr="009D6291">
        <w:rPr>
          <w:rFonts w:cs="Arial"/>
        </w:rPr>
        <w:t xml:space="preserve">rates on </w:t>
      </w:r>
      <w:r w:rsidR="003211A6" w:rsidRPr="009D6291">
        <w:rPr>
          <w:rFonts w:cs="Arial"/>
        </w:rPr>
        <w:t>four</w:t>
      </w:r>
      <w:r w:rsidR="00A3652F" w:rsidRPr="009D6291">
        <w:rPr>
          <w:rFonts w:cs="Arial"/>
        </w:rPr>
        <w:t xml:space="preserve"> </w:t>
      </w:r>
      <w:r w:rsidRPr="009D6291">
        <w:rPr>
          <w:rFonts w:cs="Arial"/>
        </w:rPr>
        <w:t xml:space="preserve">of the seven measures. The </w:t>
      </w:r>
      <w:r w:rsidR="003211A6" w:rsidRPr="009D6291">
        <w:rPr>
          <w:rFonts w:cs="Arial"/>
        </w:rPr>
        <w:t>three</w:t>
      </w:r>
      <w:r w:rsidR="00A3652F" w:rsidRPr="009D6291">
        <w:rPr>
          <w:rFonts w:cs="Arial"/>
        </w:rPr>
        <w:t xml:space="preserve"> measures Coastline </w:t>
      </w:r>
      <w:r w:rsidR="00276E00" w:rsidRPr="009D6291">
        <w:rPr>
          <w:rFonts w:cs="Arial"/>
        </w:rPr>
        <w:t>is</w:t>
      </w:r>
      <w:r w:rsidR="00A3652F" w:rsidRPr="009D6291">
        <w:rPr>
          <w:rFonts w:cs="Arial"/>
        </w:rPr>
        <w:t xml:space="preserve"> below statewide </w:t>
      </w:r>
      <w:r w:rsidR="00276E00" w:rsidRPr="009D6291">
        <w:rPr>
          <w:rFonts w:cs="Arial"/>
        </w:rPr>
        <w:t xml:space="preserve">average </w:t>
      </w:r>
      <w:r w:rsidR="00A3652F" w:rsidRPr="009D6291">
        <w:rPr>
          <w:rFonts w:cs="Arial"/>
        </w:rPr>
        <w:t xml:space="preserve">rates </w:t>
      </w:r>
      <w:r w:rsidR="002509D8" w:rsidRPr="009D6291">
        <w:rPr>
          <w:rFonts w:cs="Arial"/>
        </w:rPr>
        <w:t xml:space="preserve">are </w:t>
      </w:r>
      <w:r w:rsidR="004202B4" w:rsidRPr="009D6291">
        <w:rPr>
          <w:rFonts w:cs="Arial"/>
        </w:rPr>
        <w:t>Remedial ESL</w:t>
      </w:r>
      <w:r w:rsidR="002509D8" w:rsidRPr="009D6291">
        <w:rPr>
          <w:rFonts w:cs="Arial"/>
        </w:rPr>
        <w:t>, Persistence and Skills Builder</w:t>
      </w:r>
    </w:p>
    <w:p w14:paraId="65E7BBA6" w14:textId="1952356B" w:rsidR="00377BCA" w:rsidRDefault="00377BCA" w:rsidP="00A3652F">
      <w:pPr>
        <w:rPr>
          <w:rFonts w:cs="Arial"/>
        </w:rPr>
      </w:pPr>
    </w:p>
    <w:p w14:paraId="71104C76" w14:textId="7DC670C8" w:rsidR="00377BCA" w:rsidRPr="009D6291" w:rsidRDefault="00535442" w:rsidP="00A3652F">
      <w:pPr>
        <w:rPr>
          <w:rFonts w:cs="Arial"/>
        </w:rPr>
      </w:pPr>
      <w:r>
        <w:rPr>
          <w:rFonts w:cs="Arial"/>
        </w:rPr>
        <w:t xml:space="preserve">In 2016, a new metric - </w:t>
      </w:r>
      <w:r w:rsidR="00377BCA">
        <w:rPr>
          <w:rFonts w:cs="Arial"/>
        </w:rPr>
        <w:t>Skills Builder</w:t>
      </w:r>
      <w:r>
        <w:rPr>
          <w:rFonts w:cs="Arial"/>
        </w:rPr>
        <w:t xml:space="preserve"> – was added</w:t>
      </w:r>
      <w:r w:rsidR="00377BCA">
        <w:rPr>
          <w:rFonts w:cs="Arial"/>
        </w:rPr>
        <w:t xml:space="preserve">. The measure captures wage gains for students who completed CTE courses but </w:t>
      </w:r>
      <w:r w:rsidR="00276E00">
        <w:rPr>
          <w:rFonts w:cs="Arial"/>
        </w:rPr>
        <w:t>did not</w:t>
      </w:r>
      <w:r w:rsidR="002509D8">
        <w:rPr>
          <w:rFonts w:cs="Arial"/>
        </w:rPr>
        <w:t xml:space="preserve"> transfer to a four-</w:t>
      </w:r>
      <w:r w:rsidR="00377BCA">
        <w:rPr>
          <w:rFonts w:cs="Arial"/>
        </w:rPr>
        <w:t xml:space="preserve">year </w:t>
      </w:r>
      <w:r>
        <w:rPr>
          <w:rFonts w:cs="Arial"/>
        </w:rPr>
        <w:t>institution</w:t>
      </w:r>
      <w:r w:rsidR="00377BCA">
        <w:rPr>
          <w:rFonts w:cs="Arial"/>
        </w:rPr>
        <w:t xml:space="preserve"> or complet</w:t>
      </w:r>
      <w:r w:rsidR="00276E00">
        <w:rPr>
          <w:rFonts w:cs="Arial"/>
        </w:rPr>
        <w:t>ed</w:t>
      </w:r>
      <w:r w:rsidR="00377BCA">
        <w:rPr>
          <w:rFonts w:cs="Arial"/>
        </w:rPr>
        <w:t xml:space="preserve"> a degree or certificate</w:t>
      </w:r>
      <w:r w:rsidR="00377BCA" w:rsidRPr="009D6291">
        <w:rPr>
          <w:rFonts w:cs="Arial"/>
        </w:rPr>
        <w:t>.</w:t>
      </w:r>
      <w:r w:rsidR="009171F2" w:rsidRPr="009D6291">
        <w:rPr>
          <w:rFonts w:cs="Arial"/>
        </w:rPr>
        <w:t xml:space="preserve"> </w:t>
      </w:r>
      <w:r w:rsidR="002509D8" w:rsidRPr="009D6291">
        <w:rPr>
          <w:rFonts w:cs="Arial"/>
        </w:rPr>
        <w:t xml:space="preserve">Coastline, </w:t>
      </w:r>
      <w:r w:rsidR="009171F2" w:rsidRPr="009D6291">
        <w:rPr>
          <w:rFonts w:cs="Arial"/>
        </w:rPr>
        <w:t>Golden West and Orange Coas</w:t>
      </w:r>
      <w:r w:rsidR="002509D8" w:rsidRPr="009D6291">
        <w:rPr>
          <w:rFonts w:cs="Arial"/>
        </w:rPr>
        <w:t>t were just below</w:t>
      </w:r>
      <w:r w:rsidR="00276E00" w:rsidRPr="009D6291">
        <w:rPr>
          <w:rFonts w:cs="Arial"/>
        </w:rPr>
        <w:t xml:space="preserve"> the s</w:t>
      </w:r>
      <w:r w:rsidR="009171F2" w:rsidRPr="009D6291">
        <w:rPr>
          <w:rFonts w:cs="Arial"/>
        </w:rPr>
        <w:t xml:space="preserve">tatewide </w:t>
      </w:r>
      <w:r w:rsidR="00276E00" w:rsidRPr="009D6291">
        <w:rPr>
          <w:rFonts w:cs="Arial"/>
        </w:rPr>
        <w:t xml:space="preserve">average </w:t>
      </w:r>
      <w:r w:rsidR="002509D8" w:rsidRPr="009D6291">
        <w:rPr>
          <w:rFonts w:cs="Arial"/>
        </w:rPr>
        <w:t>rate (20%, 22%, 22%, and 23</w:t>
      </w:r>
      <w:r w:rsidR="009171F2" w:rsidRPr="009D6291">
        <w:rPr>
          <w:rFonts w:cs="Arial"/>
        </w:rPr>
        <w:t xml:space="preserve">%, respectively). </w:t>
      </w:r>
    </w:p>
    <w:p w14:paraId="0F9D5E0D" w14:textId="209CDFDD" w:rsidR="00771286" w:rsidRPr="003211A6" w:rsidRDefault="00771286" w:rsidP="005F3A37">
      <w:pPr>
        <w:jc w:val="center"/>
      </w:pPr>
    </w:p>
    <w:p w14:paraId="0F9D5E0E" w14:textId="03901242" w:rsidR="005B0BAC" w:rsidRPr="003211A6" w:rsidRDefault="007A3A37" w:rsidP="00037467">
      <w:pPr>
        <w:jc w:val="center"/>
      </w:pPr>
      <w:r w:rsidRPr="003211A6">
        <w:rPr>
          <w:rFonts w:ascii="Calibri" w:hAnsi="Calibri"/>
          <w:noProof/>
          <w:sz w:val="16"/>
          <w:szCs w:val="16"/>
        </w:rPr>
        <w:lastRenderedPageBreak/>
        <w:drawing>
          <wp:inline distT="0" distB="0" distL="0" distR="0" wp14:anchorId="51E013CF" wp14:editId="23EAE004">
            <wp:extent cx="6694805" cy="2326943"/>
            <wp:effectExtent l="0" t="0" r="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4974DF" w14:textId="60AA38F1" w:rsidR="0020267E" w:rsidRPr="003211A6" w:rsidRDefault="00A3652F" w:rsidP="00A3652F">
      <w:pPr>
        <w:rPr>
          <w:b/>
          <w:sz w:val="20"/>
          <w:szCs w:val="20"/>
          <w:u w:val="single"/>
        </w:rPr>
      </w:pPr>
      <w:r w:rsidRPr="003211A6">
        <w:rPr>
          <w:b/>
          <w:sz w:val="20"/>
          <w:szCs w:val="20"/>
          <w:u w:val="single"/>
        </w:rPr>
        <w:t>Definitions:</w:t>
      </w:r>
    </w:p>
    <w:p w14:paraId="1636B75C" w14:textId="4554B58A" w:rsidR="004202B4" w:rsidRPr="009171F2" w:rsidRDefault="004202B4" w:rsidP="004202B4">
      <w:pPr>
        <w:rPr>
          <w:rFonts w:cs="Arial"/>
          <w:b/>
          <w:sz w:val="14"/>
          <w:szCs w:val="18"/>
          <w:u w:val="single"/>
        </w:rPr>
      </w:pPr>
      <w:bookmarkStart w:id="19" w:name="_Toc340554681"/>
      <w:bookmarkStart w:id="20" w:name="_Toc341183218"/>
      <w:r w:rsidRPr="009171F2">
        <w:rPr>
          <w:rFonts w:cs="Arial"/>
          <w:b/>
          <w:sz w:val="14"/>
          <w:szCs w:val="18"/>
          <w:u w:val="single"/>
        </w:rPr>
        <w:t>Momentum Points:</w:t>
      </w:r>
    </w:p>
    <w:p w14:paraId="7F7FB9BC" w14:textId="4C2512F2" w:rsidR="004202B4" w:rsidRPr="009171F2" w:rsidRDefault="004202B4" w:rsidP="004202B4">
      <w:pPr>
        <w:rPr>
          <w:rFonts w:cs="Arial"/>
          <w:b/>
          <w:sz w:val="14"/>
          <w:szCs w:val="18"/>
        </w:rPr>
      </w:pPr>
      <w:r w:rsidRPr="009171F2">
        <w:rPr>
          <w:rFonts w:cs="Arial"/>
          <w:b/>
          <w:sz w:val="14"/>
          <w:szCs w:val="18"/>
        </w:rPr>
        <w:t>Remedial Math, English or ESL</w:t>
      </w:r>
    </w:p>
    <w:p w14:paraId="62056312" w14:textId="77777777" w:rsidR="004202B4" w:rsidRPr="009171F2" w:rsidRDefault="004202B4" w:rsidP="004202B4">
      <w:pPr>
        <w:rPr>
          <w:rFonts w:cs="Arial"/>
          <w:sz w:val="14"/>
          <w:szCs w:val="18"/>
        </w:rPr>
      </w:pPr>
      <w:bookmarkStart w:id="21" w:name="_Toc377021857"/>
      <w:r w:rsidRPr="009171F2">
        <w:rPr>
          <w:rFonts w:cs="Arial"/>
          <w:sz w:val="14"/>
          <w:szCs w:val="18"/>
        </w:rPr>
        <w:t xml:space="preserve">The percentage of credit students who start at any levels below transfer in English, Mathematics, and/or ESL and are followed for six years to determine if they successfully completed a college-level course in the same discipline.  The cohorts for each discipline are tracked from the time the student attempts a course any level below transfer in mathematics, English, and/or ESL course at that college. </w:t>
      </w:r>
      <w:bookmarkEnd w:id="21"/>
    </w:p>
    <w:p w14:paraId="2E89D99F" w14:textId="77777777" w:rsidR="00A3652F" w:rsidRPr="009171F2" w:rsidRDefault="00A3652F" w:rsidP="00A3652F">
      <w:pPr>
        <w:rPr>
          <w:rFonts w:cs="Arial"/>
          <w:b/>
          <w:sz w:val="14"/>
          <w:szCs w:val="18"/>
        </w:rPr>
      </w:pPr>
      <w:r w:rsidRPr="009171F2">
        <w:rPr>
          <w:rFonts w:cs="Arial"/>
          <w:b/>
          <w:sz w:val="14"/>
          <w:szCs w:val="18"/>
        </w:rPr>
        <w:t>Persistence</w:t>
      </w:r>
    </w:p>
    <w:p w14:paraId="796E6D18" w14:textId="77777777" w:rsidR="00A3652F" w:rsidRPr="009171F2" w:rsidRDefault="00A3652F" w:rsidP="00A3652F">
      <w:pPr>
        <w:rPr>
          <w:rFonts w:cs="Arial"/>
          <w:sz w:val="14"/>
          <w:szCs w:val="18"/>
        </w:rPr>
      </w:pPr>
      <w:r w:rsidRPr="009171F2">
        <w:rPr>
          <w:rFonts w:cs="Arial"/>
          <w:sz w:val="14"/>
          <w:szCs w:val="18"/>
        </w:rPr>
        <w:t xml:space="preserve">The percentage of first-time students with a minimum of 6 units earned in a fall term who returned and enrolled in the subsequent fall term anywhere in the system. </w:t>
      </w:r>
    </w:p>
    <w:p w14:paraId="1C5C24BC" w14:textId="77777777" w:rsidR="00A3652F" w:rsidRPr="009171F2" w:rsidRDefault="00A3652F" w:rsidP="00A3652F">
      <w:pPr>
        <w:rPr>
          <w:rFonts w:cs="Arial"/>
          <w:b/>
          <w:sz w:val="14"/>
          <w:szCs w:val="18"/>
        </w:rPr>
      </w:pPr>
      <w:r w:rsidRPr="009171F2">
        <w:rPr>
          <w:rFonts w:cs="Arial"/>
          <w:b/>
          <w:sz w:val="14"/>
          <w:szCs w:val="18"/>
        </w:rPr>
        <w:t>30 Units</w:t>
      </w:r>
    </w:p>
    <w:p w14:paraId="15FA133F" w14:textId="77777777" w:rsidR="00A3652F" w:rsidRPr="009171F2" w:rsidRDefault="00A3652F" w:rsidP="00A3652F">
      <w:pPr>
        <w:rPr>
          <w:rFonts w:cs="Arial"/>
          <w:sz w:val="14"/>
          <w:szCs w:val="18"/>
        </w:rPr>
      </w:pPr>
      <w:r w:rsidRPr="009171F2">
        <w:rPr>
          <w:rFonts w:cs="Arial"/>
          <w:sz w:val="14"/>
          <w:szCs w:val="18"/>
        </w:rPr>
        <w:t xml:space="preserve">The percentage of first-time students who showed intent to complete and who, within six years, earned at least 30 units while in the California Community College System. </w:t>
      </w:r>
    </w:p>
    <w:p w14:paraId="5DC550FD" w14:textId="7E2AB628" w:rsidR="004202B4" w:rsidRPr="009171F2" w:rsidRDefault="004202B4" w:rsidP="00A3652F">
      <w:pPr>
        <w:rPr>
          <w:rFonts w:cs="Arial"/>
          <w:b/>
          <w:sz w:val="14"/>
          <w:szCs w:val="18"/>
          <w:u w:val="single"/>
        </w:rPr>
      </w:pPr>
      <w:r w:rsidRPr="009171F2">
        <w:rPr>
          <w:rFonts w:cs="Arial"/>
          <w:b/>
          <w:sz w:val="14"/>
          <w:szCs w:val="18"/>
          <w:u w:val="single"/>
        </w:rPr>
        <w:t>Degree/Transfer Outcomes:</w:t>
      </w:r>
    </w:p>
    <w:p w14:paraId="35C10E49" w14:textId="77777777" w:rsidR="00A3652F" w:rsidRPr="009171F2" w:rsidRDefault="00A3652F" w:rsidP="00A3652F">
      <w:pPr>
        <w:rPr>
          <w:rFonts w:cs="Arial"/>
          <w:b/>
          <w:sz w:val="14"/>
          <w:szCs w:val="18"/>
        </w:rPr>
      </w:pPr>
      <w:r w:rsidRPr="009171F2">
        <w:rPr>
          <w:rFonts w:cs="Arial"/>
          <w:b/>
          <w:sz w:val="14"/>
          <w:szCs w:val="18"/>
        </w:rPr>
        <w:t>Completion</w:t>
      </w:r>
    </w:p>
    <w:p w14:paraId="4A4DDB6A" w14:textId="77777777" w:rsidR="00A3652F" w:rsidRPr="009171F2" w:rsidRDefault="00A3652F" w:rsidP="00A3652F">
      <w:pPr>
        <w:rPr>
          <w:rFonts w:cs="Arial"/>
          <w:sz w:val="14"/>
          <w:szCs w:val="18"/>
        </w:rPr>
      </w:pPr>
      <w:r w:rsidRPr="009171F2">
        <w:rPr>
          <w:rFonts w:cs="Arial"/>
          <w:sz w:val="14"/>
          <w:szCs w:val="18"/>
        </w:rPr>
        <w:t xml:space="preserve">The percentage of first-time students who earned at least 12 units and who achieved any of the following outcomes within six years: transferred to a four-year college/university, earned an AA/AS degree, earned a Certificate of 18 units or more, or achieved “Transfer Directed” or “Transfer Prepared” status.  </w:t>
      </w:r>
    </w:p>
    <w:p w14:paraId="0321D005" w14:textId="06C734A5" w:rsidR="00A3652F" w:rsidRPr="009171F2" w:rsidRDefault="00A3652F" w:rsidP="00A3652F">
      <w:pPr>
        <w:rPr>
          <w:rFonts w:cs="Arial"/>
          <w:b/>
          <w:sz w:val="14"/>
          <w:szCs w:val="18"/>
          <w:u w:val="single"/>
        </w:rPr>
      </w:pPr>
      <w:r w:rsidRPr="009171F2">
        <w:rPr>
          <w:rFonts w:cs="Arial"/>
          <w:b/>
          <w:sz w:val="14"/>
          <w:szCs w:val="18"/>
          <w:u w:val="single"/>
        </w:rPr>
        <w:t>Career and Technical Education</w:t>
      </w:r>
      <w:r w:rsidR="004202B4" w:rsidRPr="009171F2">
        <w:rPr>
          <w:rFonts w:cs="Arial"/>
          <w:b/>
          <w:sz w:val="14"/>
          <w:szCs w:val="18"/>
          <w:u w:val="single"/>
        </w:rPr>
        <w:t xml:space="preserve"> (CTE):</w:t>
      </w:r>
    </w:p>
    <w:p w14:paraId="5668ADED" w14:textId="233B42F5" w:rsidR="004202B4" w:rsidRPr="009171F2" w:rsidRDefault="004202B4" w:rsidP="00A3652F">
      <w:pPr>
        <w:rPr>
          <w:rFonts w:cs="Arial"/>
          <w:b/>
          <w:sz w:val="14"/>
          <w:szCs w:val="18"/>
        </w:rPr>
      </w:pPr>
      <w:r w:rsidRPr="009171F2">
        <w:rPr>
          <w:rFonts w:cs="Arial"/>
          <w:b/>
          <w:sz w:val="14"/>
          <w:szCs w:val="18"/>
        </w:rPr>
        <w:t>CTE Completion</w:t>
      </w:r>
    </w:p>
    <w:p w14:paraId="14907CBC" w14:textId="77777777" w:rsidR="00A3652F" w:rsidRPr="009171F2" w:rsidRDefault="00A3652F" w:rsidP="00A3652F">
      <w:pPr>
        <w:rPr>
          <w:sz w:val="14"/>
          <w:szCs w:val="18"/>
        </w:rPr>
      </w:pPr>
      <w:r w:rsidRPr="009171F2">
        <w:rPr>
          <w:sz w:val="14"/>
          <w:szCs w:val="18"/>
        </w:rPr>
        <w:t xml:space="preserve">The percentage of students who completed several courses classified as career technical education (or vocational) in a single discipline and succeeded in completing a degree, certificate or transfer related outcome within six years. </w:t>
      </w:r>
    </w:p>
    <w:p w14:paraId="0099F38F" w14:textId="52A20E7D" w:rsidR="004202B4" w:rsidRPr="009171F2" w:rsidRDefault="004202B4" w:rsidP="00A3652F">
      <w:pPr>
        <w:rPr>
          <w:b/>
          <w:sz w:val="14"/>
          <w:szCs w:val="18"/>
        </w:rPr>
      </w:pPr>
      <w:r w:rsidRPr="009171F2">
        <w:rPr>
          <w:b/>
          <w:sz w:val="14"/>
          <w:szCs w:val="18"/>
        </w:rPr>
        <w:t>Skills Builder</w:t>
      </w:r>
    </w:p>
    <w:p w14:paraId="02FD8348" w14:textId="7112AB9D" w:rsidR="004202B4" w:rsidRPr="009171F2" w:rsidRDefault="004202B4" w:rsidP="00A3652F">
      <w:pPr>
        <w:rPr>
          <w:sz w:val="14"/>
          <w:szCs w:val="18"/>
        </w:rPr>
      </w:pPr>
      <w:r w:rsidRPr="009171F2">
        <w:rPr>
          <w:rFonts w:cs="Tahoma"/>
          <w:sz w:val="14"/>
          <w:szCs w:val="18"/>
        </w:rPr>
        <w:t>The median percentage change in wages for students who completed higher level CTE coursework in 2012-2013 and left the system without receiving any type of traditional outcome such as transfer to a four year college or completion of a degree or certificate.</w:t>
      </w:r>
    </w:p>
    <w:p w14:paraId="0F9D5E41" w14:textId="75C604C7" w:rsidR="00347673" w:rsidRPr="00266147" w:rsidRDefault="00347673" w:rsidP="00A3652F">
      <w:pPr>
        <w:pStyle w:val="Heading2"/>
        <w:spacing w:before="0"/>
        <w:rPr>
          <w:color w:val="auto"/>
        </w:rPr>
      </w:pPr>
      <w:bookmarkStart w:id="22" w:name="_Toc506217393"/>
      <w:r w:rsidRPr="00266147">
        <w:rPr>
          <w:color w:val="auto"/>
        </w:rPr>
        <w:t>Successful Course Completion Rates</w:t>
      </w:r>
      <w:bookmarkEnd w:id="19"/>
      <w:bookmarkEnd w:id="20"/>
      <w:bookmarkEnd w:id="22"/>
    </w:p>
    <w:p w14:paraId="0F9D5E42" w14:textId="77777777" w:rsidR="00BE56FE" w:rsidRPr="00266147" w:rsidRDefault="00BE56FE" w:rsidP="007F141E">
      <w:pPr>
        <w:autoSpaceDE w:val="0"/>
        <w:autoSpaceDN w:val="0"/>
        <w:adjustRightInd w:val="0"/>
        <w:rPr>
          <w:bCs/>
          <w:iCs/>
        </w:rPr>
      </w:pPr>
    </w:p>
    <w:p w14:paraId="0F9D5E43" w14:textId="7C1BB050" w:rsidR="00347673" w:rsidRPr="00266147" w:rsidRDefault="00347673" w:rsidP="007F141E">
      <w:pPr>
        <w:pStyle w:val="Heading3"/>
        <w:spacing w:before="0"/>
        <w:rPr>
          <w:b w:val="0"/>
          <w:color w:val="auto"/>
        </w:rPr>
      </w:pPr>
      <w:bookmarkStart w:id="23" w:name="_Toc340554682"/>
      <w:bookmarkStart w:id="24" w:name="_Toc341183219"/>
      <w:bookmarkStart w:id="25" w:name="_Toc506217394"/>
      <w:r w:rsidRPr="00266147">
        <w:rPr>
          <w:b w:val="0"/>
          <w:color w:val="auto"/>
        </w:rPr>
        <w:t>College-wide Successful Course Completion Rates</w:t>
      </w:r>
      <w:bookmarkEnd w:id="23"/>
      <w:bookmarkEnd w:id="24"/>
      <w:bookmarkEnd w:id="25"/>
    </w:p>
    <w:p w14:paraId="0F9D5E44" w14:textId="09AB678B" w:rsidR="00BC08EC" w:rsidRPr="00960D07" w:rsidRDefault="00F149B7" w:rsidP="00404F87">
      <w:r w:rsidRPr="00266147">
        <w:t xml:space="preserve">The college-wide </w:t>
      </w:r>
      <w:r w:rsidR="00BC08EC" w:rsidRPr="00266147">
        <w:t>successful course completion rate</w:t>
      </w:r>
      <w:r w:rsidR="00F37E0C" w:rsidRPr="00266147">
        <w:t xml:space="preserve"> -</w:t>
      </w:r>
      <w:r w:rsidR="00BC08EC" w:rsidRPr="00266147">
        <w:t xml:space="preserve">  the percentage</w:t>
      </w:r>
      <w:r w:rsidR="00A901BE" w:rsidRPr="00266147">
        <w:t xml:space="preserve"> of </w:t>
      </w:r>
      <w:r w:rsidR="00BC08EC" w:rsidRPr="00266147">
        <w:t xml:space="preserve">students receiving a final grade of </w:t>
      </w:r>
      <w:r w:rsidR="00A901BE" w:rsidRPr="00266147">
        <w:rPr>
          <w:rFonts w:cs="Tahoma"/>
          <w:sz w:val="18"/>
          <w:szCs w:val="18"/>
        </w:rPr>
        <w:t xml:space="preserve">A,B,C,P,IA,IB,IC,IPP </w:t>
      </w:r>
      <w:r w:rsidR="00F37E0C" w:rsidRPr="00266147">
        <w:rPr>
          <w:rFonts w:cs="Tahoma"/>
          <w:sz w:val="18"/>
          <w:szCs w:val="18"/>
        </w:rPr>
        <w:t>-</w:t>
      </w:r>
      <w:r w:rsidR="002077D7" w:rsidRPr="00266147">
        <w:t xml:space="preserve">has </w:t>
      </w:r>
      <w:r w:rsidR="00A901BE" w:rsidRPr="00266147">
        <w:t>remained relatively steady over the past five</w:t>
      </w:r>
      <w:r w:rsidR="00D114E0" w:rsidRPr="00266147">
        <w:t xml:space="preserve"> </w:t>
      </w:r>
      <w:r w:rsidR="00F37E0C" w:rsidRPr="00266147">
        <w:t>fall semesters</w:t>
      </w:r>
      <w:r w:rsidR="0037266C" w:rsidRPr="00266147">
        <w:t xml:space="preserve">. </w:t>
      </w:r>
      <w:r w:rsidR="00A901BE" w:rsidRPr="00266147">
        <w:t>O</w:t>
      </w:r>
      <w:r w:rsidR="00214C6F" w:rsidRPr="00266147">
        <w:t>range Coast</w:t>
      </w:r>
      <w:r w:rsidRPr="00266147">
        <w:t xml:space="preserve"> </w:t>
      </w:r>
      <w:r w:rsidR="002077D7" w:rsidRPr="00266147">
        <w:t xml:space="preserve">maintained higher successful course completion rates than the statewide average in all </w:t>
      </w:r>
      <w:r w:rsidR="00576C05" w:rsidRPr="00266147">
        <w:t xml:space="preserve">five fall </w:t>
      </w:r>
      <w:r w:rsidR="002077D7" w:rsidRPr="00266147">
        <w:t>semesters</w:t>
      </w:r>
      <w:r w:rsidR="00A901BE" w:rsidRPr="00266147">
        <w:t xml:space="preserve"> </w:t>
      </w:r>
      <w:r w:rsidR="00576C05" w:rsidRPr="00960D07">
        <w:t>at rates</w:t>
      </w:r>
      <w:r w:rsidR="00A901BE" w:rsidRPr="00960D07">
        <w:t xml:space="preserve"> v</w:t>
      </w:r>
      <w:r w:rsidR="00171271" w:rsidRPr="00960D07">
        <w:t xml:space="preserve">arying between </w:t>
      </w:r>
      <w:r w:rsidR="007D47A7" w:rsidRPr="00960D07">
        <w:t>72% and 73</w:t>
      </w:r>
      <w:r w:rsidR="00A901BE" w:rsidRPr="00960D07">
        <w:t xml:space="preserve">%. </w:t>
      </w:r>
      <w:r w:rsidR="00593674" w:rsidRPr="00960D07">
        <w:t>C</w:t>
      </w:r>
      <w:r w:rsidRPr="00960D07">
        <w:t xml:space="preserve">oastline </w:t>
      </w:r>
      <w:r w:rsidR="007D47A7" w:rsidRPr="00960D07">
        <w:t xml:space="preserve">is </w:t>
      </w:r>
      <w:r w:rsidR="00276E00" w:rsidRPr="00960D07">
        <w:t>below the s</w:t>
      </w:r>
      <w:r w:rsidR="00266147" w:rsidRPr="00960D07">
        <w:t xml:space="preserve">tatewide </w:t>
      </w:r>
      <w:r w:rsidR="00276E00" w:rsidRPr="00960D07">
        <w:t xml:space="preserve">average </w:t>
      </w:r>
      <w:r w:rsidR="00266147" w:rsidRPr="00960D07">
        <w:t>rate. Coastline</w:t>
      </w:r>
      <w:r w:rsidR="00276E00" w:rsidRPr="00960D07">
        <w:t>’s</w:t>
      </w:r>
      <w:r w:rsidR="00266147" w:rsidRPr="00960D07">
        <w:t xml:space="preserve"> </w:t>
      </w:r>
      <w:r w:rsidR="00276E00" w:rsidRPr="00960D07">
        <w:t>rat</w:t>
      </w:r>
      <w:r w:rsidR="007D47A7" w:rsidRPr="00960D07">
        <w:t xml:space="preserve">es </w:t>
      </w:r>
      <w:r w:rsidR="007D47A7" w:rsidRPr="00960D07">
        <w:lastRenderedPageBreak/>
        <w:t>fluctuated between 64% and 66</w:t>
      </w:r>
      <w:r w:rsidR="00276E00" w:rsidRPr="00960D07">
        <w:t xml:space="preserve">%. Golden West’s rates fluctuated between </w:t>
      </w:r>
      <w:r w:rsidR="007D47A7" w:rsidRPr="00960D07">
        <w:t>67% and 70</w:t>
      </w:r>
      <w:r w:rsidR="00645747" w:rsidRPr="00960D07">
        <w:t>%. The statewide average rates fluctuated between 69% and 70%.</w:t>
      </w:r>
    </w:p>
    <w:p w14:paraId="0F9D5E46" w14:textId="746095EB" w:rsidR="00632C91" w:rsidRPr="00B9364B" w:rsidRDefault="00632C91" w:rsidP="00476885">
      <w:pPr>
        <w:autoSpaceDE w:val="0"/>
        <w:autoSpaceDN w:val="0"/>
        <w:adjustRightInd w:val="0"/>
        <w:jc w:val="center"/>
        <w:rPr>
          <w:bCs/>
          <w:color w:val="FF0000"/>
          <w:sz w:val="20"/>
        </w:rPr>
      </w:pPr>
      <w:r w:rsidRPr="00B9364B">
        <w:rPr>
          <w:b/>
          <w:noProof/>
          <w:color w:val="FF0000"/>
          <w:szCs w:val="24"/>
        </w:rPr>
        <w:drawing>
          <wp:inline distT="0" distB="0" distL="0" distR="0" wp14:anchorId="0F9D611E" wp14:editId="77698B20">
            <wp:extent cx="7107555" cy="29337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A9AB1F" w14:textId="77777777" w:rsidR="00266147" w:rsidRPr="00266147" w:rsidRDefault="00266147" w:rsidP="00266147">
      <w:pPr>
        <w:autoSpaceDE w:val="0"/>
        <w:autoSpaceDN w:val="0"/>
        <w:adjustRightInd w:val="0"/>
        <w:rPr>
          <w:sz w:val="16"/>
          <w:szCs w:val="16"/>
        </w:rPr>
      </w:pPr>
      <w:r w:rsidRPr="00266147">
        <w:rPr>
          <w:sz w:val="16"/>
          <w:szCs w:val="16"/>
        </w:rPr>
        <w:t>Source: CCCCO Data Mart</w:t>
      </w:r>
    </w:p>
    <w:p w14:paraId="5F16A6CA" w14:textId="77777777" w:rsidR="00266147" w:rsidRPr="00266147" w:rsidRDefault="00266147" w:rsidP="00266147">
      <w:pPr>
        <w:autoSpaceDE w:val="0"/>
        <w:autoSpaceDN w:val="0"/>
        <w:adjustRightInd w:val="0"/>
        <w:rPr>
          <w:sz w:val="16"/>
          <w:szCs w:val="16"/>
        </w:rPr>
      </w:pPr>
      <w:r w:rsidRPr="00266147">
        <w:rPr>
          <w:sz w:val="16"/>
          <w:szCs w:val="16"/>
        </w:rPr>
        <w:t xml:space="preserve">http://datamart.cccco.edu/Outcomes/Course_Ret_Success.aspx </w:t>
      </w:r>
    </w:p>
    <w:p w14:paraId="4A0A0ED7" w14:textId="77777777" w:rsidR="00CA3522" w:rsidRPr="00B9364B" w:rsidRDefault="00CA3522" w:rsidP="00771286">
      <w:pPr>
        <w:autoSpaceDE w:val="0"/>
        <w:autoSpaceDN w:val="0"/>
        <w:adjustRightInd w:val="0"/>
        <w:rPr>
          <w:color w:val="FF0000"/>
          <w:sz w:val="16"/>
          <w:szCs w:val="16"/>
        </w:rPr>
      </w:pPr>
    </w:p>
    <w:p w14:paraId="0F9D5E48" w14:textId="1EC3E3FB" w:rsidR="00347673" w:rsidRPr="00EB2563" w:rsidRDefault="00347673" w:rsidP="00CA3522">
      <w:pPr>
        <w:pStyle w:val="Heading3"/>
        <w:spacing w:before="0"/>
        <w:rPr>
          <w:b w:val="0"/>
          <w:color w:val="auto"/>
        </w:rPr>
      </w:pPr>
      <w:bookmarkStart w:id="26" w:name="_Toc340554683"/>
      <w:bookmarkStart w:id="27" w:name="_Toc341183220"/>
      <w:bookmarkStart w:id="28" w:name="_Toc506217395"/>
      <w:r w:rsidRPr="00EB2563">
        <w:rPr>
          <w:b w:val="0"/>
          <w:color w:val="auto"/>
        </w:rPr>
        <w:t xml:space="preserve">Successful </w:t>
      </w:r>
      <w:r w:rsidR="00EF25EF" w:rsidRPr="00EB2563">
        <w:rPr>
          <w:b w:val="0"/>
          <w:color w:val="auto"/>
        </w:rPr>
        <w:t xml:space="preserve">Transfer Course </w:t>
      </w:r>
      <w:r w:rsidRPr="00EB2563">
        <w:rPr>
          <w:b w:val="0"/>
          <w:color w:val="auto"/>
        </w:rPr>
        <w:t>Completion Rates</w:t>
      </w:r>
      <w:bookmarkEnd w:id="26"/>
      <w:bookmarkEnd w:id="27"/>
      <w:bookmarkEnd w:id="28"/>
    </w:p>
    <w:p w14:paraId="0F9D5E49" w14:textId="5F3ED5C3" w:rsidR="005934E3" w:rsidRPr="00960D07" w:rsidRDefault="00A3652F" w:rsidP="00347673">
      <w:pPr>
        <w:autoSpaceDE w:val="0"/>
        <w:autoSpaceDN w:val="0"/>
        <w:adjustRightInd w:val="0"/>
      </w:pPr>
      <w:r w:rsidRPr="00EB2563">
        <w:t>Over the past five fall semesters, st</w:t>
      </w:r>
      <w:r w:rsidR="00BC7602" w:rsidRPr="00EB2563">
        <w:t xml:space="preserve">atewide </w:t>
      </w:r>
      <w:r w:rsidR="00266147" w:rsidRPr="00EB2563">
        <w:t>completion</w:t>
      </w:r>
      <w:r w:rsidR="00BC7602" w:rsidRPr="00EB2563">
        <w:t xml:space="preserve"> rates </w:t>
      </w:r>
      <w:r w:rsidR="00576C05" w:rsidRPr="00EB2563">
        <w:t xml:space="preserve">in transfer courses </w:t>
      </w:r>
      <w:r w:rsidR="00266147" w:rsidRPr="00EB2563">
        <w:t>averages 70</w:t>
      </w:r>
      <w:r w:rsidRPr="00EB2563">
        <w:t>%</w:t>
      </w:r>
      <w:r w:rsidR="00BC7602" w:rsidRPr="00EB2563">
        <w:t xml:space="preserve"> </w:t>
      </w:r>
      <w:r w:rsidR="00375D3B">
        <w:t xml:space="preserve">with a range between </w:t>
      </w:r>
      <w:r w:rsidR="00375D3B" w:rsidRPr="00960D07">
        <w:t>70%</w:t>
      </w:r>
      <w:r w:rsidR="00375D3B" w:rsidRPr="00375D3B">
        <w:rPr>
          <w:color w:val="FF0000"/>
        </w:rPr>
        <w:t xml:space="preserve"> </w:t>
      </w:r>
      <w:r w:rsidR="00375D3B">
        <w:t>and 71</w:t>
      </w:r>
      <w:r w:rsidR="00266147" w:rsidRPr="00EB2563">
        <w:t>%</w:t>
      </w:r>
      <w:r w:rsidR="00BC7602" w:rsidRPr="00EB2563">
        <w:t xml:space="preserve">. </w:t>
      </w:r>
      <w:r w:rsidR="00214C6F" w:rsidRPr="00EB2563">
        <w:t>Golden West</w:t>
      </w:r>
      <w:r w:rsidRPr="00EB2563">
        <w:t xml:space="preserve"> and</w:t>
      </w:r>
      <w:r w:rsidR="00214C6F" w:rsidRPr="00EB2563">
        <w:t xml:space="preserve"> </w:t>
      </w:r>
      <w:r w:rsidR="00EB2563" w:rsidRPr="00EB2563">
        <w:t>Coas</w:t>
      </w:r>
      <w:r w:rsidR="00375D3B">
        <w:t>tline rates have been</w:t>
      </w:r>
      <w:r w:rsidR="00A93852">
        <w:t xml:space="preserve"> just below </w:t>
      </w:r>
      <w:r w:rsidR="00A93852" w:rsidRPr="00960D07">
        <w:t>the state</w:t>
      </w:r>
      <w:r w:rsidR="00EB2563" w:rsidRPr="00960D07">
        <w:t xml:space="preserve">wide </w:t>
      </w:r>
      <w:r w:rsidR="00A93852" w:rsidRPr="00960D07">
        <w:t xml:space="preserve">average </w:t>
      </w:r>
      <w:r w:rsidR="00EB2563" w:rsidRPr="00960D07">
        <w:t>rates</w:t>
      </w:r>
      <w:r w:rsidR="00576C05" w:rsidRPr="00960D07">
        <w:t>. Orange Coast has had the highest success rates in transfer courses reaching a high of 74% in fall 2012</w:t>
      </w:r>
      <w:r w:rsidR="00375D3B" w:rsidRPr="00960D07">
        <w:t xml:space="preserve"> and </w:t>
      </w:r>
      <w:r w:rsidR="00A93852" w:rsidRPr="00960D07">
        <w:t xml:space="preserve">fall </w:t>
      </w:r>
      <w:r w:rsidR="00375D3B" w:rsidRPr="00960D07">
        <w:t>2016</w:t>
      </w:r>
      <w:r w:rsidR="007B0026">
        <w:t>, respectively</w:t>
      </w:r>
      <w:r w:rsidR="00EB2563" w:rsidRPr="00960D07">
        <w:t>.</w:t>
      </w:r>
      <w:r w:rsidR="00576C05" w:rsidRPr="00960D07">
        <w:t xml:space="preserve"> Golden West </w:t>
      </w:r>
      <w:r w:rsidR="00EB2563" w:rsidRPr="00960D07">
        <w:t>and</w:t>
      </w:r>
      <w:r w:rsidRPr="00960D07">
        <w:t xml:space="preserve"> Coastline </w:t>
      </w:r>
      <w:r w:rsidR="00375D3B" w:rsidRPr="00960D07">
        <w:t>are averaging 69</w:t>
      </w:r>
      <w:r w:rsidR="00EB2563" w:rsidRPr="00960D07">
        <w:t>% and 64% completion</w:t>
      </w:r>
      <w:r w:rsidR="00A93852" w:rsidRPr="00960D07">
        <w:t xml:space="preserve"> rates in transfer courses</w:t>
      </w:r>
      <w:r w:rsidR="00EB2563" w:rsidRPr="00960D07">
        <w:t>, respectively</w:t>
      </w:r>
      <w:r w:rsidRPr="00960D07">
        <w:t>.</w:t>
      </w:r>
    </w:p>
    <w:p w14:paraId="0F9D5E4B" w14:textId="615B6CFC" w:rsidR="00E46899" w:rsidRPr="00B9364B" w:rsidRDefault="00404F87" w:rsidP="00593674">
      <w:pPr>
        <w:autoSpaceDE w:val="0"/>
        <w:autoSpaceDN w:val="0"/>
        <w:adjustRightInd w:val="0"/>
        <w:jc w:val="center"/>
        <w:rPr>
          <w:color w:val="FF0000"/>
        </w:rPr>
      </w:pPr>
      <w:r w:rsidRPr="00B9364B">
        <w:rPr>
          <w:rFonts w:ascii="Calibri" w:eastAsia="Franklin Gothic Book" w:hAnsi="Calibri" w:cs="Times New Roman"/>
          <w:b/>
          <w:noProof/>
          <w:color w:val="FF0000"/>
          <w:sz w:val="20"/>
          <w:szCs w:val="20"/>
        </w:rPr>
        <w:drawing>
          <wp:inline distT="0" distB="0" distL="0" distR="0" wp14:anchorId="2CC68E9D" wp14:editId="75622654">
            <wp:extent cx="6162261" cy="2456953"/>
            <wp:effectExtent l="0" t="0" r="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D5E4C" w14:textId="77777777" w:rsidR="00804BAF" w:rsidRPr="00EB2563" w:rsidRDefault="00804BAF" w:rsidP="00347673">
      <w:pPr>
        <w:autoSpaceDE w:val="0"/>
        <w:autoSpaceDN w:val="0"/>
        <w:adjustRightInd w:val="0"/>
        <w:jc w:val="center"/>
        <w:rPr>
          <w:sz w:val="4"/>
          <w:szCs w:val="4"/>
        </w:rPr>
      </w:pPr>
    </w:p>
    <w:p w14:paraId="314766E4" w14:textId="77777777" w:rsidR="00266147" w:rsidRPr="00EB2563" w:rsidRDefault="00257AB7" w:rsidP="00257AB7">
      <w:pPr>
        <w:autoSpaceDE w:val="0"/>
        <w:autoSpaceDN w:val="0"/>
        <w:adjustRightInd w:val="0"/>
        <w:rPr>
          <w:sz w:val="16"/>
          <w:szCs w:val="16"/>
        </w:rPr>
      </w:pPr>
      <w:bookmarkStart w:id="29" w:name="_Toc340554684"/>
      <w:bookmarkStart w:id="30" w:name="_Toc341183221"/>
      <w:r w:rsidRPr="00EB2563">
        <w:rPr>
          <w:sz w:val="16"/>
          <w:szCs w:val="16"/>
        </w:rPr>
        <w:t xml:space="preserve">Source: </w:t>
      </w:r>
      <w:r w:rsidR="00266147" w:rsidRPr="00EB2563">
        <w:rPr>
          <w:sz w:val="16"/>
          <w:szCs w:val="16"/>
        </w:rPr>
        <w:t>CCCCO Data Mart</w:t>
      </w:r>
    </w:p>
    <w:p w14:paraId="36C212AC" w14:textId="71733301" w:rsidR="00257AB7" w:rsidRPr="00EB2563" w:rsidRDefault="00266147" w:rsidP="00257AB7">
      <w:pPr>
        <w:autoSpaceDE w:val="0"/>
        <w:autoSpaceDN w:val="0"/>
        <w:adjustRightInd w:val="0"/>
        <w:rPr>
          <w:sz w:val="16"/>
          <w:szCs w:val="16"/>
        </w:rPr>
      </w:pPr>
      <w:r w:rsidRPr="00EB2563">
        <w:rPr>
          <w:sz w:val="16"/>
          <w:szCs w:val="16"/>
        </w:rPr>
        <w:t>http://datamart.cccco.edu/Outcomes/Course_Ret_Success.aspx</w:t>
      </w:r>
      <w:r w:rsidR="00257AB7" w:rsidRPr="00EB2563">
        <w:rPr>
          <w:sz w:val="16"/>
          <w:szCs w:val="16"/>
        </w:rPr>
        <w:t xml:space="preserve"> </w:t>
      </w:r>
    </w:p>
    <w:p w14:paraId="0F9D5E50" w14:textId="2270C763" w:rsidR="00347673" w:rsidRPr="002C6ABD" w:rsidRDefault="00347673" w:rsidP="00257AB7">
      <w:pPr>
        <w:pStyle w:val="Heading3"/>
        <w:rPr>
          <w:b w:val="0"/>
          <w:color w:val="auto"/>
        </w:rPr>
      </w:pPr>
      <w:bookmarkStart w:id="31" w:name="_Toc506217396"/>
      <w:r w:rsidRPr="002C6ABD">
        <w:rPr>
          <w:b w:val="0"/>
          <w:color w:val="auto"/>
        </w:rPr>
        <w:lastRenderedPageBreak/>
        <w:t xml:space="preserve">Successful </w:t>
      </w:r>
      <w:r w:rsidR="00EF25EF" w:rsidRPr="002C6ABD">
        <w:rPr>
          <w:b w:val="0"/>
          <w:color w:val="auto"/>
        </w:rPr>
        <w:t xml:space="preserve">Basic Skills Course </w:t>
      </w:r>
      <w:r w:rsidRPr="002C6ABD">
        <w:rPr>
          <w:b w:val="0"/>
          <w:color w:val="auto"/>
        </w:rPr>
        <w:t>Completion Rates</w:t>
      </w:r>
      <w:bookmarkEnd w:id="29"/>
      <w:bookmarkEnd w:id="30"/>
      <w:bookmarkEnd w:id="31"/>
    </w:p>
    <w:p w14:paraId="0F9D5E51" w14:textId="089B74EB" w:rsidR="00347673" w:rsidRDefault="007746B4" w:rsidP="00347673">
      <w:pPr>
        <w:autoSpaceDE w:val="0"/>
        <w:autoSpaceDN w:val="0"/>
        <w:adjustRightInd w:val="0"/>
      </w:pPr>
      <w:r w:rsidRPr="00132355">
        <w:t xml:space="preserve">Coastline’s basic skills </w:t>
      </w:r>
      <w:r w:rsidR="00214C6F" w:rsidRPr="00132355">
        <w:t xml:space="preserve">course completion rates </w:t>
      </w:r>
      <w:r w:rsidR="007E4D53">
        <w:t xml:space="preserve">varied between 72% and 77% and continue to be </w:t>
      </w:r>
      <w:r w:rsidRPr="00132355">
        <w:t xml:space="preserve">above </w:t>
      </w:r>
      <w:r w:rsidR="00A3652F" w:rsidRPr="00132355">
        <w:t xml:space="preserve">the statewide </w:t>
      </w:r>
      <w:r w:rsidR="00736BE9">
        <w:t xml:space="preserve">average </w:t>
      </w:r>
      <w:r w:rsidRPr="00132355">
        <w:t>rate</w:t>
      </w:r>
      <w:r w:rsidR="007E4D53">
        <w:t>s</w:t>
      </w:r>
      <w:r w:rsidR="00A3652F" w:rsidRPr="00132355">
        <w:t xml:space="preserve">. Golden West </w:t>
      </w:r>
      <w:r w:rsidR="007E4D53">
        <w:t>trend</w:t>
      </w:r>
      <w:r w:rsidR="00736BE9">
        <w:t>ed</w:t>
      </w:r>
      <w:r w:rsidR="007E4D53">
        <w:t xml:space="preserve"> down from a high of 62%</w:t>
      </w:r>
      <w:r w:rsidR="00A3652F" w:rsidRPr="00132355">
        <w:t xml:space="preserve"> </w:t>
      </w:r>
      <w:r w:rsidR="00736BE9">
        <w:t xml:space="preserve">in fall </w:t>
      </w:r>
      <w:r w:rsidR="00A3652F" w:rsidRPr="00132355">
        <w:t>2</w:t>
      </w:r>
      <w:r w:rsidR="00214C6F" w:rsidRPr="00132355">
        <w:t>01</w:t>
      </w:r>
      <w:r w:rsidR="007E4D53">
        <w:t>2</w:t>
      </w:r>
      <w:r w:rsidR="00214C6F" w:rsidRPr="00132355">
        <w:t xml:space="preserve"> to a </w:t>
      </w:r>
      <w:r w:rsidR="007E4D53">
        <w:t>low of</w:t>
      </w:r>
      <w:r w:rsidR="00214C6F" w:rsidRPr="00132355">
        <w:t xml:space="preserve"> </w:t>
      </w:r>
      <w:r w:rsidR="007E4D53">
        <w:t xml:space="preserve">54% </w:t>
      </w:r>
      <w:r w:rsidR="00736BE9">
        <w:t>in fall 2015</w:t>
      </w:r>
      <w:r w:rsidR="007B0026">
        <w:t xml:space="preserve"> but rebounded to 60% in fall 2016</w:t>
      </w:r>
      <w:r w:rsidR="00A3652F" w:rsidRPr="00132355">
        <w:t>. Orange Coast</w:t>
      </w:r>
      <w:r w:rsidR="00736BE9">
        <w:t>’s</w:t>
      </w:r>
      <w:r w:rsidR="00A3652F" w:rsidRPr="00132355">
        <w:t xml:space="preserve"> </w:t>
      </w:r>
      <w:r w:rsidR="00736BE9">
        <w:t xml:space="preserve">rates </w:t>
      </w:r>
      <w:r w:rsidR="007E4D53">
        <w:t>varied between</w:t>
      </w:r>
      <w:r w:rsidR="00736BE9">
        <w:t xml:space="preserve"> 49% and </w:t>
      </w:r>
      <w:r w:rsidR="0059257A" w:rsidRPr="00960D07">
        <w:t>62</w:t>
      </w:r>
      <w:r w:rsidR="00736BE9" w:rsidRPr="00960D07">
        <w:t>%</w:t>
      </w:r>
      <w:r w:rsidR="00736BE9">
        <w:t xml:space="preserve"> over the five-year period</w:t>
      </w:r>
      <w:r w:rsidR="002C6ABD" w:rsidRPr="00132355">
        <w:t>.</w:t>
      </w:r>
    </w:p>
    <w:p w14:paraId="27BAF733" w14:textId="77777777" w:rsidR="007E4D53" w:rsidRPr="002C6ABD" w:rsidRDefault="007E4D53" w:rsidP="00347673">
      <w:pPr>
        <w:autoSpaceDE w:val="0"/>
        <w:autoSpaceDN w:val="0"/>
        <w:adjustRightInd w:val="0"/>
      </w:pPr>
    </w:p>
    <w:p w14:paraId="0F9D5E54" w14:textId="06C01511" w:rsidR="00171271" w:rsidRPr="002C6ABD" w:rsidRDefault="004A3343" w:rsidP="00347673">
      <w:pPr>
        <w:autoSpaceDE w:val="0"/>
        <w:autoSpaceDN w:val="0"/>
        <w:adjustRightInd w:val="0"/>
        <w:jc w:val="center"/>
        <w:rPr>
          <w:bCs/>
          <w:sz w:val="20"/>
        </w:rPr>
      </w:pPr>
      <w:r w:rsidRPr="002C6ABD">
        <w:rPr>
          <w:rFonts w:ascii="Calibri" w:hAnsi="Calibri"/>
          <w:b/>
          <w:noProof/>
          <w:sz w:val="20"/>
          <w:szCs w:val="20"/>
        </w:rPr>
        <w:drawing>
          <wp:inline distT="0" distB="0" distL="0" distR="0" wp14:anchorId="63F133B8" wp14:editId="2CA283DF">
            <wp:extent cx="6932428" cy="2764466"/>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512A36" w14:textId="4F4E09D4" w:rsidR="007746B4" w:rsidRPr="002C6ABD" w:rsidRDefault="00D93E84" w:rsidP="003D508C">
      <w:pPr>
        <w:autoSpaceDE w:val="0"/>
        <w:autoSpaceDN w:val="0"/>
        <w:adjustRightInd w:val="0"/>
        <w:rPr>
          <w:sz w:val="16"/>
          <w:szCs w:val="16"/>
        </w:rPr>
      </w:pPr>
      <w:r w:rsidRPr="002C6ABD">
        <w:rPr>
          <w:sz w:val="16"/>
          <w:szCs w:val="16"/>
        </w:rPr>
        <w:t>Source: CCCCO</w:t>
      </w:r>
      <w:r w:rsidR="00EF25EF" w:rsidRPr="002C6ABD">
        <w:rPr>
          <w:sz w:val="16"/>
          <w:szCs w:val="16"/>
        </w:rPr>
        <w:t xml:space="preserve"> Data Mart</w:t>
      </w:r>
      <w:r w:rsidR="007746B4" w:rsidRPr="002C6ABD">
        <w:rPr>
          <w:sz w:val="16"/>
          <w:szCs w:val="16"/>
        </w:rPr>
        <w:t>, http://datamart.cccco.edu/Outcomes/Course_Ret_Success.aspx</w:t>
      </w:r>
    </w:p>
    <w:p w14:paraId="578CD06F" w14:textId="77777777" w:rsidR="002B7C79" w:rsidRPr="00B9364B" w:rsidRDefault="002B7C79" w:rsidP="008B4F19">
      <w:pPr>
        <w:autoSpaceDE w:val="0"/>
        <w:autoSpaceDN w:val="0"/>
        <w:adjustRightInd w:val="0"/>
        <w:rPr>
          <w:color w:val="FF0000"/>
          <w:sz w:val="24"/>
          <w:szCs w:val="24"/>
        </w:rPr>
      </w:pPr>
    </w:p>
    <w:p w14:paraId="0F9D5E56" w14:textId="35B090DC" w:rsidR="00347673" w:rsidRPr="002C6ABD" w:rsidRDefault="00347673" w:rsidP="008B4F19">
      <w:pPr>
        <w:pStyle w:val="Heading3"/>
        <w:spacing w:before="0"/>
        <w:rPr>
          <w:b w:val="0"/>
          <w:color w:val="auto"/>
        </w:rPr>
      </w:pPr>
      <w:bookmarkStart w:id="32" w:name="_Toc340554685"/>
      <w:bookmarkStart w:id="33" w:name="_Toc341183222"/>
      <w:bookmarkStart w:id="34" w:name="_Toc506217397"/>
      <w:r w:rsidRPr="002C6ABD">
        <w:rPr>
          <w:b w:val="0"/>
          <w:color w:val="auto"/>
        </w:rPr>
        <w:t xml:space="preserve">Successful </w:t>
      </w:r>
      <w:r w:rsidR="00EF25EF" w:rsidRPr="002C6ABD">
        <w:rPr>
          <w:b w:val="0"/>
          <w:color w:val="auto"/>
        </w:rPr>
        <w:t xml:space="preserve">Career Technical Education (CTE) Course </w:t>
      </w:r>
      <w:r w:rsidRPr="002C6ABD">
        <w:rPr>
          <w:b w:val="0"/>
          <w:color w:val="auto"/>
        </w:rPr>
        <w:t>Completion Rates</w:t>
      </w:r>
      <w:bookmarkEnd w:id="32"/>
      <w:bookmarkEnd w:id="33"/>
      <w:bookmarkEnd w:id="34"/>
    </w:p>
    <w:p w14:paraId="26FA70DE" w14:textId="57BBC31F" w:rsidR="00A3652F" w:rsidRPr="002C6ABD" w:rsidRDefault="00A3652F" w:rsidP="00A3652F">
      <w:pPr>
        <w:autoSpaceDE w:val="0"/>
        <w:autoSpaceDN w:val="0"/>
        <w:adjustRightInd w:val="0"/>
      </w:pPr>
      <w:r w:rsidRPr="002C6ABD">
        <w:t>The successful completion rates in CTE courses ha</w:t>
      </w:r>
      <w:r w:rsidR="00D90A6F" w:rsidRPr="002C6ABD">
        <w:t>ve remained relatively steady over</w:t>
      </w:r>
      <w:r w:rsidRPr="002C6ABD">
        <w:t xml:space="preserve"> the last </w:t>
      </w:r>
      <w:r w:rsidR="00D90A6F" w:rsidRPr="002C6ABD">
        <w:t>five</w:t>
      </w:r>
      <w:r w:rsidR="007A0895" w:rsidRPr="002C6ABD">
        <w:t xml:space="preserve"> years.  </w:t>
      </w:r>
      <w:r w:rsidRPr="002C6ABD">
        <w:t xml:space="preserve">Orange Coast rates varied </w:t>
      </w:r>
      <w:r w:rsidRPr="00960D07">
        <w:t xml:space="preserve">between </w:t>
      </w:r>
      <w:r w:rsidR="005A3CA7" w:rsidRPr="00960D07">
        <w:t>75</w:t>
      </w:r>
      <w:r w:rsidR="002C6ABD" w:rsidRPr="00960D07">
        <w:t xml:space="preserve">% </w:t>
      </w:r>
      <w:r w:rsidR="005A3CA7" w:rsidRPr="00960D07">
        <w:t>and 78</w:t>
      </w:r>
      <w:r w:rsidR="002C6ABD" w:rsidRPr="00960D07">
        <w:t>%. Golden West</w:t>
      </w:r>
      <w:r w:rsidR="007A0895" w:rsidRPr="00960D07">
        <w:t xml:space="preserve"> rates varied between 6</w:t>
      </w:r>
      <w:r w:rsidR="005A3CA7" w:rsidRPr="00960D07">
        <w:t>9% and 72</w:t>
      </w:r>
      <w:r w:rsidR="002C6ABD" w:rsidRPr="00960D07">
        <w:t>%. Coastline</w:t>
      </w:r>
      <w:r w:rsidR="00A170F2" w:rsidRPr="00960D07">
        <w:t xml:space="preserve"> </w:t>
      </w:r>
      <w:r w:rsidRPr="00960D07">
        <w:t>rates vari</w:t>
      </w:r>
      <w:r w:rsidR="005A3CA7" w:rsidRPr="00960D07">
        <w:t>ed between 62</w:t>
      </w:r>
      <w:r w:rsidR="007A0895" w:rsidRPr="00960D07">
        <w:t>% and 63</w:t>
      </w:r>
      <w:r w:rsidRPr="00960D07">
        <w:t>%. Orange</w:t>
      </w:r>
      <w:r w:rsidR="002C6ABD" w:rsidRPr="00960D07">
        <w:t xml:space="preserve"> Coast</w:t>
      </w:r>
      <w:r w:rsidR="00617528" w:rsidRPr="00960D07">
        <w:t xml:space="preserve"> was the </w:t>
      </w:r>
      <w:r w:rsidR="00617528" w:rsidRPr="002C6ABD">
        <w:t>only one of the three c</w:t>
      </w:r>
      <w:r w:rsidR="00736BE9">
        <w:t>olleges above the state</w:t>
      </w:r>
      <w:r w:rsidRPr="002C6ABD">
        <w:t xml:space="preserve">wide </w:t>
      </w:r>
      <w:r w:rsidR="00736BE9">
        <w:t xml:space="preserve">average </w:t>
      </w:r>
      <w:r w:rsidRPr="002C6ABD">
        <w:t>rate.</w:t>
      </w:r>
    </w:p>
    <w:p w14:paraId="5DB59BFC" w14:textId="77777777" w:rsidR="00A3652F" w:rsidRPr="002C6ABD" w:rsidRDefault="00A3652F" w:rsidP="00A3652F">
      <w:pPr>
        <w:autoSpaceDE w:val="0"/>
        <w:autoSpaceDN w:val="0"/>
        <w:adjustRightInd w:val="0"/>
      </w:pPr>
    </w:p>
    <w:p w14:paraId="0F9D5E59" w14:textId="70C8AD84" w:rsidR="0044059A" w:rsidRPr="002C6ABD" w:rsidRDefault="0044059A" w:rsidP="00A3652F">
      <w:pPr>
        <w:autoSpaceDE w:val="0"/>
        <w:autoSpaceDN w:val="0"/>
        <w:adjustRightInd w:val="0"/>
        <w:jc w:val="center"/>
        <w:rPr>
          <w:bCs/>
          <w:sz w:val="20"/>
        </w:rPr>
      </w:pPr>
      <w:r w:rsidRPr="002C6ABD">
        <w:rPr>
          <w:rFonts w:ascii="Calibri" w:hAnsi="Calibri"/>
          <w:b/>
          <w:noProof/>
          <w:sz w:val="20"/>
          <w:szCs w:val="20"/>
        </w:rPr>
        <w:drawing>
          <wp:inline distT="0" distB="0" distL="0" distR="0" wp14:anchorId="0F9D6124" wp14:editId="6196C258">
            <wp:extent cx="6886575" cy="27051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1B289B" w14:textId="77777777" w:rsidR="002C6ABD" w:rsidRPr="002C6ABD" w:rsidRDefault="002C6ABD" w:rsidP="002C6ABD">
      <w:pPr>
        <w:autoSpaceDE w:val="0"/>
        <w:autoSpaceDN w:val="0"/>
        <w:adjustRightInd w:val="0"/>
        <w:rPr>
          <w:sz w:val="16"/>
          <w:szCs w:val="16"/>
        </w:rPr>
      </w:pPr>
      <w:r w:rsidRPr="002C6ABD">
        <w:rPr>
          <w:sz w:val="16"/>
          <w:szCs w:val="16"/>
        </w:rPr>
        <w:t>Source: CCCCO Data Mart, http://datamart.cccco.edu/Outcomes/Course_Ret_Success.aspx</w:t>
      </w:r>
    </w:p>
    <w:p w14:paraId="792098DB" w14:textId="09F18479" w:rsidR="008B4F19" w:rsidRPr="00B9364B" w:rsidRDefault="002C6ABD" w:rsidP="002C6ABD">
      <w:pPr>
        <w:autoSpaceDE w:val="0"/>
        <w:autoSpaceDN w:val="0"/>
        <w:adjustRightInd w:val="0"/>
        <w:rPr>
          <w:color w:val="FF0000"/>
          <w:sz w:val="16"/>
          <w:szCs w:val="16"/>
        </w:rPr>
      </w:pPr>
      <w:r w:rsidRPr="00B9364B">
        <w:rPr>
          <w:color w:val="FF0000"/>
          <w:sz w:val="16"/>
          <w:szCs w:val="16"/>
        </w:rPr>
        <w:lastRenderedPageBreak/>
        <w:t xml:space="preserve"> </w:t>
      </w:r>
      <w:r w:rsidR="008B4F19" w:rsidRPr="00B9364B">
        <w:rPr>
          <w:color w:val="FF0000"/>
          <w:sz w:val="16"/>
          <w:szCs w:val="16"/>
        </w:rPr>
        <w:br w:type="page"/>
      </w:r>
    </w:p>
    <w:p w14:paraId="0F9D5E60" w14:textId="235DB135" w:rsidR="00347673" w:rsidRPr="007360FE" w:rsidRDefault="00347673" w:rsidP="005E12D1">
      <w:pPr>
        <w:pStyle w:val="Heading2"/>
        <w:rPr>
          <w:i/>
          <w:color w:val="auto"/>
        </w:rPr>
      </w:pPr>
      <w:bookmarkStart w:id="35" w:name="_Toc340554686"/>
      <w:bookmarkStart w:id="36" w:name="_Toc341183223"/>
      <w:bookmarkStart w:id="37" w:name="_Toc506217398"/>
      <w:r w:rsidRPr="007360FE">
        <w:rPr>
          <w:color w:val="auto"/>
        </w:rPr>
        <w:lastRenderedPageBreak/>
        <w:t xml:space="preserve">Successful </w:t>
      </w:r>
      <w:r w:rsidR="00EF25EF" w:rsidRPr="007360FE">
        <w:rPr>
          <w:color w:val="auto"/>
        </w:rPr>
        <w:t xml:space="preserve">Course </w:t>
      </w:r>
      <w:r w:rsidRPr="007360FE">
        <w:rPr>
          <w:color w:val="auto"/>
        </w:rPr>
        <w:t xml:space="preserve">Completion Rates </w:t>
      </w:r>
      <w:r w:rsidR="00EF25EF" w:rsidRPr="007360FE">
        <w:rPr>
          <w:color w:val="auto"/>
        </w:rPr>
        <w:t>by</w:t>
      </w:r>
      <w:r w:rsidRPr="007360FE">
        <w:rPr>
          <w:color w:val="auto"/>
        </w:rPr>
        <w:t xml:space="preserve"> </w:t>
      </w:r>
      <w:bookmarkEnd w:id="35"/>
      <w:bookmarkEnd w:id="36"/>
      <w:r w:rsidR="009C7CFC" w:rsidRPr="007360FE">
        <w:rPr>
          <w:color w:val="auto"/>
        </w:rPr>
        <w:t>Modality</w:t>
      </w:r>
      <w:bookmarkEnd w:id="37"/>
    </w:p>
    <w:p w14:paraId="3BD700B1" w14:textId="77777777" w:rsidR="00C27D64" w:rsidRPr="007360FE" w:rsidRDefault="00C27D64" w:rsidP="00347673">
      <w:pPr>
        <w:autoSpaceDE w:val="0"/>
        <w:autoSpaceDN w:val="0"/>
        <w:adjustRightInd w:val="0"/>
      </w:pPr>
    </w:p>
    <w:p w14:paraId="0F9D5E9C" w14:textId="74DF007D" w:rsidR="00347673" w:rsidRPr="007360FE" w:rsidRDefault="00A3652F" w:rsidP="004A1EAF">
      <w:pPr>
        <w:autoSpaceDE w:val="0"/>
        <w:autoSpaceDN w:val="0"/>
        <w:adjustRightInd w:val="0"/>
      </w:pPr>
      <w:r w:rsidRPr="007360FE">
        <w:t xml:space="preserve">The </w:t>
      </w:r>
      <w:r w:rsidR="00347673" w:rsidRPr="007360FE">
        <w:t>College</w:t>
      </w:r>
      <w:r w:rsidR="00AD3035" w:rsidRPr="007360FE">
        <w:t xml:space="preserve">s </w:t>
      </w:r>
      <w:r w:rsidR="004A1EAF" w:rsidRPr="007360FE">
        <w:t xml:space="preserve">are </w:t>
      </w:r>
      <w:r w:rsidR="00347673" w:rsidRPr="007360FE">
        <w:t>commit</w:t>
      </w:r>
      <w:r w:rsidR="004A1EAF" w:rsidRPr="007360FE">
        <w:t>ted</w:t>
      </w:r>
      <w:r w:rsidR="00347673" w:rsidRPr="007360FE">
        <w:t xml:space="preserve"> to </w:t>
      </w:r>
      <w:r w:rsidR="007B7BF7" w:rsidRPr="007360FE">
        <w:t xml:space="preserve">student success and to </w:t>
      </w:r>
      <w:r w:rsidR="00347673" w:rsidRPr="007360FE">
        <w:t xml:space="preserve">providing instruction in alternative delivery modes to meet the </w:t>
      </w:r>
      <w:r w:rsidR="0005517B" w:rsidRPr="007360FE">
        <w:t xml:space="preserve">diverse </w:t>
      </w:r>
      <w:r w:rsidR="00347673" w:rsidRPr="007360FE">
        <w:t xml:space="preserve">educational needs of students. </w:t>
      </w:r>
      <w:r w:rsidR="00AD3035" w:rsidRPr="007360FE">
        <w:t>For all three colleges</w:t>
      </w:r>
      <w:r w:rsidRPr="007360FE">
        <w:t xml:space="preserve"> however</w:t>
      </w:r>
      <w:r w:rsidR="00AD3035" w:rsidRPr="007360FE">
        <w:t>, s</w:t>
      </w:r>
      <w:r w:rsidR="00347673" w:rsidRPr="007360FE">
        <w:t>uccess rates in online courses are cons</w:t>
      </w:r>
      <w:r w:rsidR="00AD3035" w:rsidRPr="007360FE">
        <w:t>istently lower than in courses offered face-to-</w:t>
      </w:r>
      <w:r w:rsidR="00843B04" w:rsidRPr="007360FE">
        <w:t>face</w:t>
      </w:r>
      <w:r w:rsidR="00347673" w:rsidRPr="007360FE">
        <w:t>.</w:t>
      </w:r>
      <w:r w:rsidR="00F63262" w:rsidRPr="007360FE">
        <w:t xml:space="preserve"> For Coastline, the differences between success r</w:t>
      </w:r>
      <w:r w:rsidR="004E63A7" w:rsidRPr="007360FE">
        <w:t>ates by modality var</w:t>
      </w:r>
      <w:r w:rsidR="00EB2EA2">
        <w:t>ied</w:t>
      </w:r>
      <w:r w:rsidR="0099178D">
        <w:t xml:space="preserve"> </w:t>
      </w:r>
      <w:r w:rsidR="0099178D" w:rsidRPr="00960D07">
        <w:t>between 15</w:t>
      </w:r>
      <w:r w:rsidR="00F63262" w:rsidRPr="00960D07">
        <w:t xml:space="preserve">% and 19%. For Golden West, the difference </w:t>
      </w:r>
      <w:r w:rsidR="00617528" w:rsidRPr="00960D07">
        <w:t xml:space="preserve">in course success rates </w:t>
      </w:r>
      <w:r w:rsidR="00F63262" w:rsidRPr="00960D07">
        <w:t xml:space="preserve">between </w:t>
      </w:r>
      <w:r w:rsidR="00617528" w:rsidRPr="00960D07">
        <w:t>delivery modalities varied</w:t>
      </w:r>
      <w:r w:rsidR="0099178D" w:rsidRPr="00960D07">
        <w:t xml:space="preserve"> between </w:t>
      </w:r>
      <w:r w:rsidR="00962FDD" w:rsidRPr="00960D07">
        <w:t>4</w:t>
      </w:r>
      <w:r w:rsidR="00F63262" w:rsidRPr="00960D07">
        <w:t>%</w:t>
      </w:r>
      <w:r w:rsidR="0099178D" w:rsidRPr="00960D07">
        <w:t xml:space="preserve"> and 9</w:t>
      </w:r>
      <w:r w:rsidR="00F63262" w:rsidRPr="00960D07">
        <w:t>%. For Orange Coast,</w:t>
      </w:r>
      <w:r w:rsidR="00617528" w:rsidRPr="00960D07">
        <w:t xml:space="preserve"> the difference varied</w:t>
      </w:r>
      <w:r w:rsidR="00962FDD" w:rsidRPr="00960D07">
        <w:t xml:space="preserve"> between 4</w:t>
      </w:r>
      <w:r w:rsidR="00F63262" w:rsidRPr="00960D07">
        <w:t xml:space="preserve">% and </w:t>
      </w:r>
      <w:r w:rsidR="00F63262" w:rsidRPr="007360FE">
        <w:t>14%.</w:t>
      </w:r>
    </w:p>
    <w:p w14:paraId="4546D99F" w14:textId="77777777" w:rsidR="003A0A3C" w:rsidRPr="007360FE" w:rsidRDefault="003A0A3C" w:rsidP="00C83A1D">
      <w:pPr>
        <w:rPr>
          <w:sz w:val="16"/>
          <w:szCs w:val="16"/>
        </w:rPr>
      </w:pPr>
    </w:p>
    <w:p w14:paraId="52503297" w14:textId="20CE069A" w:rsidR="004A1EAF" w:rsidRPr="007360FE" w:rsidRDefault="004A1EAF" w:rsidP="001A0F73">
      <w:pPr>
        <w:spacing w:line="360" w:lineRule="auto"/>
        <w:jc w:val="center"/>
      </w:pPr>
      <w:r w:rsidRPr="007360FE">
        <w:t>Successful Course Completion Rates by Modality</w:t>
      </w:r>
    </w:p>
    <w:p w14:paraId="06ECE8F4" w14:textId="5A4202F7" w:rsidR="00843B04" w:rsidRPr="00B9364B" w:rsidRDefault="000F076A" w:rsidP="00843B04">
      <w:pPr>
        <w:autoSpaceDE w:val="0"/>
        <w:autoSpaceDN w:val="0"/>
        <w:adjustRightInd w:val="0"/>
        <w:jc w:val="center"/>
        <w:rPr>
          <w:bCs/>
          <w:color w:val="FF0000"/>
          <w:sz w:val="20"/>
        </w:rPr>
      </w:pPr>
      <w:r w:rsidRPr="00B9364B">
        <w:rPr>
          <w:rFonts w:ascii="Calibri" w:eastAsia="Franklin Gothic Book" w:hAnsi="Calibri" w:cs="Times New Roman"/>
          <w:b/>
          <w:noProof/>
          <w:color w:val="FF0000"/>
          <w:sz w:val="20"/>
          <w:szCs w:val="20"/>
        </w:rPr>
        <w:drawing>
          <wp:inline distT="0" distB="0" distL="0" distR="0" wp14:anchorId="31789A7E" wp14:editId="66D98E66">
            <wp:extent cx="6659593" cy="2303253"/>
            <wp:effectExtent l="0" t="0" r="8255" b="190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55D22E" w14:textId="77777777" w:rsidR="000F076A" w:rsidRPr="00B9364B" w:rsidRDefault="000F076A" w:rsidP="0076390B">
      <w:pPr>
        <w:tabs>
          <w:tab w:val="left" w:leader="dot" w:pos="5738"/>
        </w:tabs>
        <w:autoSpaceDE w:val="0"/>
        <w:autoSpaceDN w:val="0"/>
        <w:adjustRightInd w:val="0"/>
        <w:jc w:val="center"/>
        <w:rPr>
          <w:color w:val="FF0000"/>
        </w:rPr>
      </w:pPr>
    </w:p>
    <w:p w14:paraId="0F9D5EA1" w14:textId="54DB881C" w:rsidR="002F1F18" w:rsidRPr="00B9364B" w:rsidRDefault="000F076A" w:rsidP="001A0F73">
      <w:pPr>
        <w:spacing w:line="360" w:lineRule="auto"/>
        <w:jc w:val="center"/>
        <w:rPr>
          <w:color w:val="FF0000"/>
        </w:rPr>
      </w:pPr>
      <w:r w:rsidRPr="00B9364B">
        <w:rPr>
          <w:rFonts w:ascii="Franklin Gothic Book" w:eastAsia="Franklin Gothic Book" w:hAnsi="Franklin Gothic Book" w:cs="Times New Roman"/>
          <w:b/>
          <w:noProof/>
          <w:color w:val="FF0000"/>
        </w:rPr>
        <w:drawing>
          <wp:inline distT="0" distB="0" distL="0" distR="0" wp14:anchorId="0501804E" wp14:editId="4B0B964C">
            <wp:extent cx="6737230" cy="2234241"/>
            <wp:effectExtent l="0" t="0" r="6985"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188A93" w14:textId="5F88D143" w:rsidR="001A0F73" w:rsidRPr="00B9364B" w:rsidRDefault="001A0F73" w:rsidP="001A0F73">
      <w:pPr>
        <w:jc w:val="center"/>
        <w:rPr>
          <w:color w:val="FF0000"/>
        </w:rPr>
      </w:pPr>
      <w:r w:rsidRPr="00B9364B">
        <w:rPr>
          <w:rFonts w:ascii="Calibri" w:eastAsia="Franklin Gothic Book" w:hAnsi="Calibri" w:cs="Times New Roman"/>
          <w:b/>
          <w:noProof/>
          <w:color w:val="FF0000"/>
          <w:sz w:val="20"/>
          <w:szCs w:val="20"/>
        </w:rPr>
        <w:lastRenderedPageBreak/>
        <w:drawing>
          <wp:inline distT="0" distB="0" distL="0" distR="0" wp14:anchorId="1ED0E976" wp14:editId="1DE89DAB">
            <wp:extent cx="6515100" cy="2057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3D997A" w14:textId="77777777" w:rsidR="001A0F73" w:rsidRPr="00B9364B" w:rsidRDefault="001A0F73" w:rsidP="004D0170">
      <w:pPr>
        <w:tabs>
          <w:tab w:val="left" w:pos="1210"/>
          <w:tab w:val="left" w:pos="1982"/>
          <w:tab w:val="left" w:pos="3965"/>
          <w:tab w:val="left" w:pos="5158"/>
          <w:tab w:val="left" w:pos="6132"/>
        </w:tabs>
        <w:autoSpaceDE w:val="0"/>
        <w:autoSpaceDN w:val="0"/>
        <w:adjustRightInd w:val="0"/>
        <w:rPr>
          <w:color w:val="FF0000"/>
          <w:sz w:val="16"/>
          <w:szCs w:val="16"/>
        </w:rPr>
      </w:pPr>
      <w:bookmarkStart w:id="38" w:name="_Toc341183224"/>
    </w:p>
    <w:p w14:paraId="30BB9162" w14:textId="77777777" w:rsidR="007360FE" w:rsidRPr="002C6ABD" w:rsidRDefault="007360FE" w:rsidP="007360FE">
      <w:pPr>
        <w:autoSpaceDE w:val="0"/>
        <w:autoSpaceDN w:val="0"/>
        <w:adjustRightInd w:val="0"/>
        <w:rPr>
          <w:sz w:val="16"/>
          <w:szCs w:val="16"/>
        </w:rPr>
      </w:pPr>
      <w:r w:rsidRPr="002C6ABD">
        <w:rPr>
          <w:sz w:val="16"/>
          <w:szCs w:val="16"/>
        </w:rPr>
        <w:t>Source: CCCCO Data Mart, http://datamart.cccco.edu/Outcomes/Course_Ret_Success.aspx</w:t>
      </w:r>
    </w:p>
    <w:p w14:paraId="0F9D5EA6" w14:textId="1815C095" w:rsidR="00347673" w:rsidRPr="00DA2AA5" w:rsidRDefault="00347673" w:rsidP="009C7CFC">
      <w:pPr>
        <w:pStyle w:val="Heading2"/>
        <w:rPr>
          <w:color w:val="auto"/>
        </w:rPr>
      </w:pPr>
      <w:bookmarkStart w:id="39" w:name="_Toc506217399"/>
      <w:r w:rsidRPr="00DA2AA5">
        <w:rPr>
          <w:color w:val="auto"/>
        </w:rPr>
        <w:t>Students on Probation</w:t>
      </w:r>
      <w:r w:rsidR="009C7CFC" w:rsidRPr="00DA2AA5">
        <w:rPr>
          <w:color w:val="auto"/>
        </w:rPr>
        <w:t>/</w:t>
      </w:r>
      <w:r w:rsidRPr="00DA2AA5">
        <w:rPr>
          <w:color w:val="auto"/>
        </w:rPr>
        <w:t>Disqualification</w:t>
      </w:r>
      <w:bookmarkEnd w:id="38"/>
      <w:bookmarkEnd w:id="39"/>
    </w:p>
    <w:p w14:paraId="54D6CB01" w14:textId="3DCAA679" w:rsidR="00EA3424" w:rsidRPr="00960D07" w:rsidRDefault="00EA3424" w:rsidP="00EA3424">
      <w:pPr>
        <w:tabs>
          <w:tab w:val="left" w:leader="dot" w:pos="5738"/>
        </w:tabs>
        <w:autoSpaceDE w:val="0"/>
        <w:autoSpaceDN w:val="0"/>
        <w:adjustRightInd w:val="0"/>
      </w:pPr>
      <w:r w:rsidRPr="00960D07">
        <w:t>The percentage of students who ended the term on academ</w:t>
      </w:r>
      <w:r w:rsidR="006308DE" w:rsidRPr="00960D07">
        <w:t>ic or progress probation decreased for Golden West</w:t>
      </w:r>
      <w:r w:rsidRPr="00960D07">
        <w:t xml:space="preserve"> and Orange Coast </w:t>
      </w:r>
      <w:r w:rsidR="00E82C0C">
        <w:t>and increased</w:t>
      </w:r>
      <w:r w:rsidR="006308DE" w:rsidRPr="00960D07">
        <w:t xml:space="preserve"> only slightly for Coastline in fall 2016</w:t>
      </w:r>
      <w:r w:rsidRPr="00960D07">
        <w:t xml:space="preserve">. Golden West’s probation rate </w:t>
      </w:r>
      <w:r w:rsidR="006308DE" w:rsidRPr="00960D07">
        <w:t xml:space="preserve">has </w:t>
      </w:r>
      <w:r w:rsidRPr="00960D07">
        <w:t>decre</w:t>
      </w:r>
      <w:r w:rsidR="00E82C0C">
        <w:t>ased steadily since f</w:t>
      </w:r>
      <w:r w:rsidR="006308DE" w:rsidRPr="00960D07">
        <w:t>all 2013</w:t>
      </w:r>
      <w:r w:rsidRPr="00960D07">
        <w:t>.</w:t>
      </w:r>
    </w:p>
    <w:p w14:paraId="33FCCB40" w14:textId="3F39216F" w:rsidR="001A7486" w:rsidRPr="00DA2AA5" w:rsidRDefault="005B43B9" w:rsidP="00446E51">
      <w:pPr>
        <w:tabs>
          <w:tab w:val="left" w:pos="1210"/>
          <w:tab w:val="left" w:pos="1982"/>
          <w:tab w:val="left" w:pos="3965"/>
          <w:tab w:val="left" w:pos="5158"/>
          <w:tab w:val="left" w:pos="6132"/>
        </w:tabs>
        <w:autoSpaceDE w:val="0"/>
        <w:autoSpaceDN w:val="0"/>
        <w:adjustRightInd w:val="0"/>
        <w:spacing w:line="254" w:lineRule="atLeast"/>
        <w:jc w:val="center"/>
        <w:rPr>
          <w:bCs/>
          <w:sz w:val="20"/>
        </w:rPr>
      </w:pPr>
      <w:r w:rsidRPr="00DA2AA5">
        <w:rPr>
          <w:rFonts w:ascii="Franklin Gothic Book" w:eastAsia="Franklin Gothic Book" w:hAnsi="Franklin Gothic Book" w:cs="Times New Roman"/>
          <w:b/>
          <w:noProof/>
        </w:rPr>
        <w:drawing>
          <wp:inline distT="0" distB="0" distL="0" distR="0" wp14:anchorId="60E15C0D" wp14:editId="3E37007A">
            <wp:extent cx="6815455" cy="1960474"/>
            <wp:effectExtent l="0" t="0" r="4445" b="190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4DAC4E" w14:textId="726BAFDC" w:rsidR="00EA3424" w:rsidRPr="00960D07" w:rsidRDefault="00EA3424" w:rsidP="00EA3424">
      <w:pPr>
        <w:tabs>
          <w:tab w:val="left" w:pos="1210"/>
          <w:tab w:val="left" w:pos="1982"/>
          <w:tab w:val="left" w:pos="3965"/>
          <w:tab w:val="left" w:pos="5158"/>
          <w:tab w:val="left" w:pos="6132"/>
        </w:tabs>
        <w:autoSpaceDE w:val="0"/>
        <w:autoSpaceDN w:val="0"/>
        <w:adjustRightInd w:val="0"/>
        <w:spacing w:line="254" w:lineRule="atLeast"/>
      </w:pPr>
      <w:r w:rsidRPr="00EA3424">
        <w:t>For Orange Coast, the percentage of students who ended the term on academic dismissal</w:t>
      </w:r>
      <w:r w:rsidR="002A3EFD">
        <w:t>/disqualification (DQ</w:t>
      </w:r>
      <w:r w:rsidR="002A3EFD" w:rsidRPr="00AC2EE2">
        <w:t xml:space="preserve">) </w:t>
      </w:r>
      <w:r w:rsidR="009C1CF5" w:rsidRPr="00960D07">
        <w:t>has decreased steadily since fall 2014</w:t>
      </w:r>
      <w:r w:rsidR="002A3EFD" w:rsidRPr="00960D07">
        <w:t xml:space="preserve">. </w:t>
      </w:r>
      <w:r w:rsidRPr="00960D07">
        <w:t>Golden West’s</w:t>
      </w:r>
      <w:r w:rsidR="002A3EFD" w:rsidRPr="00960D07">
        <w:t xml:space="preserve"> DQ rate increased to </w:t>
      </w:r>
      <w:r w:rsidRPr="00960D07">
        <w:t xml:space="preserve">4.8% in </w:t>
      </w:r>
      <w:r w:rsidR="002A3EFD" w:rsidRPr="00960D07">
        <w:t>f</w:t>
      </w:r>
      <w:r w:rsidRPr="00960D07">
        <w:t>all</w:t>
      </w:r>
      <w:r w:rsidR="009C1CF5" w:rsidRPr="00960D07">
        <w:t xml:space="preserve"> 2015 and then dropped back to 4.5%</w:t>
      </w:r>
      <w:r w:rsidRPr="00960D07">
        <w:t xml:space="preserve"> in </w:t>
      </w:r>
      <w:r w:rsidR="002A3EFD" w:rsidRPr="00960D07">
        <w:t xml:space="preserve">fall </w:t>
      </w:r>
      <w:r w:rsidR="009C1CF5" w:rsidRPr="00960D07">
        <w:t>2016</w:t>
      </w:r>
      <w:r w:rsidRPr="00960D07">
        <w:t>. Coastline’s rate is the lowest of the thr</w:t>
      </w:r>
      <w:r w:rsidR="009C1CF5" w:rsidRPr="00960D07">
        <w:t>ee colleges and was</w:t>
      </w:r>
      <w:r w:rsidR="002A3EFD" w:rsidRPr="00960D07">
        <w:t xml:space="preserve"> </w:t>
      </w:r>
      <w:r w:rsidR="009C1CF5" w:rsidRPr="00960D07">
        <w:t>at 1.9</w:t>
      </w:r>
      <w:r w:rsidRPr="00960D07">
        <w:t xml:space="preserve">% in </w:t>
      </w:r>
      <w:r w:rsidR="002A3EFD" w:rsidRPr="00960D07">
        <w:t xml:space="preserve">fall </w:t>
      </w:r>
      <w:r w:rsidRPr="00960D07">
        <w:t>20</w:t>
      </w:r>
      <w:r w:rsidR="009C1CF5" w:rsidRPr="00960D07">
        <w:t>16</w:t>
      </w:r>
      <w:r w:rsidRPr="00960D07">
        <w:t>.</w:t>
      </w:r>
    </w:p>
    <w:p w14:paraId="6B1C8A9D" w14:textId="67B33AE0" w:rsidR="00B7288C" w:rsidRPr="00B9364B" w:rsidRDefault="008B593A" w:rsidP="008B593A">
      <w:pPr>
        <w:autoSpaceDE w:val="0"/>
        <w:autoSpaceDN w:val="0"/>
        <w:adjustRightInd w:val="0"/>
        <w:jc w:val="center"/>
        <w:rPr>
          <w:bCs/>
          <w:color w:val="FF0000"/>
          <w:sz w:val="20"/>
          <w:szCs w:val="20"/>
        </w:rPr>
      </w:pPr>
      <w:r w:rsidRPr="00B9364B">
        <w:rPr>
          <w:b/>
          <w:noProof/>
          <w:color w:val="FF0000"/>
          <w:szCs w:val="24"/>
        </w:rPr>
        <w:drawing>
          <wp:inline distT="0" distB="0" distL="0" distR="0" wp14:anchorId="6E8EDD8B" wp14:editId="7E18F325">
            <wp:extent cx="6915150" cy="1880006"/>
            <wp:effectExtent l="0" t="0" r="0" b="635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E633EF" w14:textId="77777777" w:rsidR="00EA3424" w:rsidRPr="00B702D3" w:rsidRDefault="00EA3424" w:rsidP="00EA3424"/>
    <w:p w14:paraId="2492A591" w14:textId="28467FE3" w:rsidR="00EA3424" w:rsidRPr="00AC2EE2" w:rsidRDefault="00EA3424" w:rsidP="00B702D3">
      <w:r w:rsidRPr="00AC2EE2">
        <w:t xml:space="preserve">Students at Orange Coast </w:t>
      </w:r>
      <w:r w:rsidR="009C1CF5" w:rsidRPr="00AC2EE2">
        <w:t>and Golden West showed slight decreases</w:t>
      </w:r>
      <w:r w:rsidRPr="00AC2EE2">
        <w:t xml:space="preserve"> in the rates of transitioning to good standing from fall </w:t>
      </w:r>
      <w:r w:rsidR="002A3EFD" w:rsidRPr="00AC2EE2">
        <w:t xml:space="preserve">to the next spring semester </w:t>
      </w:r>
      <w:r w:rsidR="009C1CF5" w:rsidRPr="00AC2EE2">
        <w:t>from 2015-16 to 2016-17</w:t>
      </w:r>
      <w:r w:rsidRPr="00AC2EE2">
        <w:t xml:space="preserve">. Coastline </w:t>
      </w:r>
      <w:r w:rsidR="009C1CF5" w:rsidRPr="00AC2EE2">
        <w:t>increased its rate from 17.3% in 2015-16 to 18.3% in 2016-17.</w:t>
      </w:r>
    </w:p>
    <w:p w14:paraId="2CFADE5E" w14:textId="68F2513D" w:rsidR="008B593A" w:rsidRPr="00B702D3" w:rsidRDefault="002835FC" w:rsidP="002835FC">
      <w:pPr>
        <w:autoSpaceDE w:val="0"/>
        <w:autoSpaceDN w:val="0"/>
        <w:adjustRightInd w:val="0"/>
        <w:jc w:val="center"/>
        <w:rPr>
          <w:b/>
          <w:bCs/>
          <w:sz w:val="20"/>
          <w:szCs w:val="20"/>
        </w:rPr>
      </w:pPr>
      <w:r w:rsidRPr="00B702D3">
        <w:rPr>
          <w:b/>
          <w:noProof/>
          <w:szCs w:val="24"/>
        </w:rPr>
        <w:lastRenderedPageBreak/>
        <w:drawing>
          <wp:inline distT="0" distB="0" distL="0" distR="0" wp14:anchorId="0A73EA29" wp14:editId="4E215717">
            <wp:extent cx="6896100" cy="2062886"/>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8571AB" w14:textId="77777777" w:rsidR="002A518A" w:rsidRPr="00B702D3" w:rsidRDefault="002A518A" w:rsidP="002A518A">
      <w:pPr>
        <w:autoSpaceDE w:val="0"/>
        <w:autoSpaceDN w:val="0"/>
        <w:adjustRightInd w:val="0"/>
        <w:rPr>
          <w:sz w:val="16"/>
          <w:szCs w:val="16"/>
        </w:rPr>
      </w:pPr>
      <w:r w:rsidRPr="00B702D3">
        <w:rPr>
          <w:sz w:val="16"/>
          <w:szCs w:val="16"/>
        </w:rPr>
        <w:t>Source: CCCD Student Information System</w:t>
      </w:r>
    </w:p>
    <w:p w14:paraId="3B07AF27" w14:textId="77777777" w:rsidR="002A518A" w:rsidRPr="00B9364B" w:rsidRDefault="002A518A" w:rsidP="00534765">
      <w:pPr>
        <w:rPr>
          <w:color w:val="FF0000"/>
        </w:rPr>
      </w:pPr>
    </w:p>
    <w:p w14:paraId="1452E702" w14:textId="77777777" w:rsidR="00351DBC" w:rsidRPr="00B9364B" w:rsidRDefault="00351DBC" w:rsidP="003A57A5">
      <w:pPr>
        <w:autoSpaceDE w:val="0"/>
        <w:autoSpaceDN w:val="0"/>
        <w:adjustRightInd w:val="0"/>
        <w:rPr>
          <w:b/>
          <w:noProof/>
          <w:color w:val="FF0000"/>
          <w:sz w:val="16"/>
          <w:szCs w:val="16"/>
        </w:rPr>
      </w:pPr>
    </w:p>
    <w:p w14:paraId="0F9D5EB7" w14:textId="105DD319" w:rsidR="008232CC" w:rsidRPr="00B702D3" w:rsidRDefault="008232CC" w:rsidP="00BE56FE">
      <w:pPr>
        <w:pStyle w:val="Heading2"/>
        <w:rPr>
          <w:color w:val="auto"/>
        </w:rPr>
      </w:pPr>
      <w:bookmarkStart w:id="40" w:name="_Toc341183225"/>
      <w:bookmarkStart w:id="41" w:name="_Toc506217400"/>
      <w:r w:rsidRPr="00B702D3">
        <w:rPr>
          <w:color w:val="auto"/>
        </w:rPr>
        <w:t>Progression through and Completion of the Basic Skills Course Sequence (English, Math and ESL)</w:t>
      </w:r>
      <w:bookmarkEnd w:id="40"/>
      <w:bookmarkEnd w:id="41"/>
    </w:p>
    <w:p w14:paraId="41090651" w14:textId="77777777" w:rsidR="004547F7" w:rsidRPr="00B702D3" w:rsidRDefault="004547F7" w:rsidP="004547F7">
      <w:pPr>
        <w:pStyle w:val="Heading2"/>
        <w:rPr>
          <w:color w:val="auto"/>
        </w:rPr>
      </w:pPr>
      <w:bookmarkStart w:id="42" w:name="_Toc506217401"/>
      <w:r w:rsidRPr="00B702D3">
        <w:rPr>
          <w:color w:val="auto"/>
        </w:rPr>
        <w:t>English Progression</w:t>
      </w:r>
      <w:bookmarkEnd w:id="42"/>
    </w:p>
    <w:p w14:paraId="12442067" w14:textId="77777777" w:rsidR="004547F7" w:rsidRPr="00B702D3" w:rsidRDefault="004547F7" w:rsidP="004547F7">
      <w:pPr>
        <w:autoSpaceDE w:val="0"/>
        <w:autoSpaceDN w:val="0"/>
        <w:adjustRightInd w:val="0"/>
      </w:pPr>
      <w:r w:rsidRPr="00B702D3">
        <w:t xml:space="preserve">The percentage of students who started in basic skills English courses two-levels below college-level who subsequently progressed into college-level English courses remains an area of emphasis at the colleges. The tables below show the last five cohorts of students tracked over two years in the English course sequence. </w:t>
      </w:r>
    </w:p>
    <w:p w14:paraId="5A9BD420" w14:textId="77777777" w:rsidR="004547F7" w:rsidRPr="00B702D3" w:rsidRDefault="004547F7" w:rsidP="004547F7"/>
    <w:p w14:paraId="2725BF1F" w14:textId="77777777" w:rsidR="004547F7" w:rsidRPr="00B702D3" w:rsidRDefault="004547F7" w:rsidP="004547F7">
      <w:r w:rsidRPr="00B702D3">
        <w:t>Coastline</w:t>
      </w:r>
    </w:p>
    <w:p w14:paraId="6E21C686" w14:textId="3A70F82D" w:rsidR="004547F7" w:rsidRPr="00B702D3" w:rsidRDefault="004547F7" w:rsidP="004547F7">
      <w:r w:rsidRPr="00B702D3">
        <w:t xml:space="preserve">The percentage of students who started two levels below </w:t>
      </w:r>
      <w:r w:rsidR="00183E13">
        <w:t>college-level who successfully p</w:t>
      </w:r>
      <w:r w:rsidRPr="00B702D3">
        <w:t>rogressed and completed college-level English within t</w:t>
      </w:r>
      <w:r w:rsidR="00546813">
        <w:t>wo years has increased from a</w:t>
      </w:r>
      <w:r w:rsidRPr="00B702D3">
        <w:t xml:space="preserve"> </w:t>
      </w:r>
      <w:r w:rsidRPr="00AC2EE2">
        <w:t>low o</w:t>
      </w:r>
      <w:r w:rsidR="000C5D1B" w:rsidRPr="00AC2EE2">
        <w:t>f 19</w:t>
      </w:r>
      <w:r w:rsidR="00F73D62" w:rsidRPr="00AC2EE2">
        <w:t xml:space="preserve">% for the </w:t>
      </w:r>
      <w:r w:rsidR="00F73D62">
        <w:t>Fall 11 to Spring 13</w:t>
      </w:r>
      <w:r w:rsidRPr="00B702D3">
        <w:t xml:space="preserve"> cohort to a high </w:t>
      </w:r>
      <w:r w:rsidR="00546813">
        <w:t>of</w:t>
      </w:r>
      <w:r w:rsidRPr="00B702D3">
        <w:t xml:space="preserve"> 36%</w:t>
      </w:r>
      <w:r w:rsidR="00546813">
        <w:t xml:space="preserve"> for the Fall 15 to Spring 17 cohort</w:t>
      </w:r>
      <w:r w:rsidRPr="00B702D3">
        <w:t xml:space="preserve">. A large part of the volatility of Coastline’s percentages is due to the small numbers that comprise each cohort. </w:t>
      </w:r>
    </w:p>
    <w:p w14:paraId="20CA00B6" w14:textId="77777777" w:rsidR="004547F7" w:rsidRPr="00B702D3" w:rsidRDefault="004547F7" w:rsidP="004547F7"/>
    <w:p w14:paraId="008A0DAE" w14:textId="77777777" w:rsidR="004547F7" w:rsidRPr="00B702D3" w:rsidRDefault="004547F7" w:rsidP="004547F7">
      <w:pPr>
        <w:autoSpaceDE w:val="0"/>
        <w:autoSpaceDN w:val="0"/>
        <w:adjustRightInd w:val="0"/>
        <w:jc w:val="center"/>
        <w:rPr>
          <w:rFonts w:ascii="Arial" w:eastAsia="Franklin Gothic Book" w:hAnsi="Arial" w:cs="Arial"/>
          <w:b/>
          <w:bCs/>
          <w:sz w:val="20"/>
          <w:szCs w:val="20"/>
        </w:rPr>
      </w:pPr>
      <w:r w:rsidRPr="00B702D3">
        <w:rPr>
          <w:rFonts w:ascii="Arial" w:eastAsia="Franklin Gothic Book" w:hAnsi="Arial" w:cs="Arial"/>
          <w:b/>
          <w:bCs/>
          <w:sz w:val="20"/>
          <w:szCs w:val="20"/>
        </w:rPr>
        <w:t>Coastline English Basic Skills Students Progression to College Level within Two Years</w:t>
      </w:r>
    </w:p>
    <w:tbl>
      <w:tblPr>
        <w:tblW w:w="9850" w:type="dxa"/>
        <w:jc w:val="center"/>
        <w:tblCellMar>
          <w:left w:w="0" w:type="dxa"/>
          <w:right w:w="0" w:type="dxa"/>
        </w:tblCellMar>
        <w:tblLook w:val="04A0" w:firstRow="1" w:lastRow="0" w:firstColumn="1" w:lastColumn="0" w:noHBand="0" w:noVBand="1"/>
      </w:tblPr>
      <w:tblGrid>
        <w:gridCol w:w="1950"/>
        <w:gridCol w:w="1314"/>
        <w:gridCol w:w="1316"/>
        <w:gridCol w:w="1326"/>
        <w:gridCol w:w="1310"/>
        <w:gridCol w:w="16"/>
        <w:gridCol w:w="1310"/>
        <w:gridCol w:w="1308"/>
      </w:tblGrid>
      <w:tr w:rsidR="004547F7" w:rsidRPr="00B702D3" w14:paraId="20D6FAEC" w14:textId="77777777" w:rsidTr="004547F7">
        <w:trPr>
          <w:trHeight w:val="302"/>
          <w:jc w:val="center"/>
        </w:trPr>
        <w:tc>
          <w:tcPr>
            <w:tcW w:w="990"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4B3B6B3B" w14:textId="77777777" w:rsidR="004547F7" w:rsidRPr="00B702D3" w:rsidRDefault="004547F7" w:rsidP="004547F7">
            <w:pPr>
              <w:jc w:val="center"/>
              <w:rPr>
                <w:rFonts w:ascii="Calibri" w:eastAsia="Times New Roman" w:hAnsi="Calibri" w:cs="Arial"/>
                <w:b/>
                <w:bCs/>
                <w:sz w:val="20"/>
                <w:szCs w:val="20"/>
                <w:u w:val="thick"/>
              </w:rPr>
            </w:pPr>
            <w:r w:rsidRPr="00B702D3">
              <w:rPr>
                <w:rFonts w:ascii="Calibri" w:eastAsia="Times New Roman" w:hAnsi="Calibri" w:cs="Arial"/>
                <w:b/>
                <w:bCs/>
                <w:sz w:val="20"/>
                <w:szCs w:val="20"/>
                <w:u w:val="thick"/>
              </w:rPr>
              <w:t>Coastline</w:t>
            </w:r>
          </w:p>
        </w:tc>
        <w:tc>
          <w:tcPr>
            <w:tcW w:w="1335"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18D97EB"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Two Levels Below Transfer</w:t>
            </w:r>
          </w:p>
        </w:tc>
        <w:tc>
          <w:tcPr>
            <w:tcW w:w="1338"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009DD5F"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One Level Below Transfer</w:t>
            </w:r>
          </w:p>
        </w:tc>
        <w:tc>
          <w:tcPr>
            <w:tcW w:w="1337" w:type="pct"/>
            <w:gridSpan w:val="3"/>
            <w:tcBorders>
              <w:left w:val="single" w:sz="4" w:space="0" w:color="BFBFBF" w:themeColor="background1" w:themeShade="BF"/>
              <w:bottom w:val="single" w:sz="4" w:space="0" w:color="BFBFBF" w:themeColor="background1" w:themeShade="BF"/>
            </w:tcBorders>
            <w:shd w:val="clear" w:color="auto" w:fill="auto"/>
            <w:vAlign w:val="bottom"/>
          </w:tcPr>
          <w:p w14:paraId="457E7EE5"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Transferable</w:t>
            </w:r>
          </w:p>
        </w:tc>
      </w:tr>
      <w:tr w:rsidR="004547F7" w:rsidRPr="00B702D3" w14:paraId="0CABDAAE"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2650081"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English Writing</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7D14DB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39F8B9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3ABB3AC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BCBE2F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7CE769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66A96C4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r>
      <w:tr w:rsidR="004547F7" w:rsidRPr="00B702D3" w14:paraId="5FBE11D6"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857945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11    to    Spring 13</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2E3362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1A27BB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171291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D42631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6E0922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20545E9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w:t>
            </w:r>
          </w:p>
        </w:tc>
      </w:tr>
      <w:tr w:rsidR="004547F7" w:rsidRPr="00B702D3" w14:paraId="43B87717"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9BF1B0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37DB98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943814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100%</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DC2753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60%</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817168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50%</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8C7C2D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528B43E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19%</w:t>
            </w:r>
          </w:p>
        </w:tc>
      </w:tr>
      <w:tr w:rsidR="004547F7" w:rsidRPr="00B702D3" w14:paraId="79CCCC79"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6BD917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12    to    Spring 14</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0182291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34</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970482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38CDB5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DC819B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b/>
                <w:sz w:val="20"/>
                <w:szCs w:val="20"/>
              </w:rPr>
              <w:t>14</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08E306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19E4CE5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w:t>
            </w:r>
          </w:p>
        </w:tc>
      </w:tr>
      <w:tr w:rsidR="004547F7" w:rsidRPr="00B702D3" w14:paraId="371195C5"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0CD3B3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C66619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EBB7E5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59%</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9EA427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53%</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B05BDC7"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41%</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64E6B9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21%</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79832439"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21%</w:t>
            </w:r>
          </w:p>
        </w:tc>
      </w:tr>
      <w:tr w:rsidR="004547F7" w:rsidRPr="00B702D3" w14:paraId="199DD6B2"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8AB722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13    to    Spring 15</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447C00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46</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F9E8F4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34</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0EC771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25</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AA223A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23</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93E4CC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17</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261548F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w:t>
            </w:r>
          </w:p>
        </w:tc>
      </w:tr>
      <w:tr w:rsidR="004547F7" w:rsidRPr="00B702D3" w14:paraId="410DCAFC"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7423AC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2D52B5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6ECCD5F"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74%</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58F9FC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54%</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1F0C50C"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50%</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CC4229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37%</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6B6FF4C3"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36%</w:t>
            </w:r>
          </w:p>
        </w:tc>
      </w:tr>
      <w:tr w:rsidR="004547F7" w:rsidRPr="00B702D3" w14:paraId="6562EC47"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930FFF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14    to    Spring 16</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7D9499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39</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5E977B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31</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8A3123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22</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2FF3E5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16</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50798C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14</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0F7DBA5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w:t>
            </w:r>
          </w:p>
        </w:tc>
      </w:tr>
      <w:tr w:rsidR="004547F7" w:rsidRPr="00B702D3" w14:paraId="56387CA0"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F0F5AF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lastRenderedPageBreak/>
              <w:t>Percent of Cohort</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B21F3F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099786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79%</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AAD55F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56%</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6C8E928"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41%</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4A5955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36%</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0F5F4DCD"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31%</w:t>
            </w:r>
          </w:p>
        </w:tc>
      </w:tr>
      <w:tr w:rsidR="006A044D" w:rsidRPr="00B702D3" w14:paraId="5D8580D2"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E1CB26B" w14:textId="35100EC7"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Fall 15    to    Spring 17</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DF5B16C" w14:textId="3797516B"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17</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5A4747F" w14:textId="4CE4D689" w:rsidR="006A044D" w:rsidRPr="00AC2EE2" w:rsidRDefault="006A044D" w:rsidP="006A044D">
            <w:pPr>
              <w:jc w:val="center"/>
              <w:rPr>
                <w:rFonts w:ascii="Calibri" w:eastAsia="Times New Roman" w:hAnsi="Calibri" w:cs="Arial"/>
                <w:b/>
                <w:sz w:val="20"/>
                <w:szCs w:val="20"/>
              </w:rPr>
            </w:pPr>
            <w:r w:rsidRPr="00AC2EE2">
              <w:rPr>
                <w:rFonts w:ascii="Calibri" w:eastAsia="Times New Roman" w:hAnsi="Calibri" w:cs="Arial"/>
                <w:sz w:val="20"/>
                <w:szCs w:val="20"/>
              </w:rPr>
              <w:t>10</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115F412" w14:textId="0D4778F5"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10</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2411867" w14:textId="73E0AB40" w:rsidR="006A044D" w:rsidRPr="00AC2EE2" w:rsidRDefault="006A044D" w:rsidP="006A044D">
            <w:pPr>
              <w:jc w:val="center"/>
              <w:rPr>
                <w:rFonts w:ascii="Calibri" w:eastAsia="Times New Roman" w:hAnsi="Calibri" w:cs="Arial"/>
                <w:b/>
                <w:sz w:val="20"/>
                <w:szCs w:val="20"/>
              </w:rPr>
            </w:pPr>
            <w:r w:rsidRPr="00AC2EE2">
              <w:rPr>
                <w:rFonts w:ascii="Calibri" w:eastAsia="Times New Roman" w:hAnsi="Calibri" w:cs="Arial"/>
                <w:sz w:val="20"/>
                <w:szCs w:val="20"/>
              </w:rPr>
              <w:t>7</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651F44B" w14:textId="0E379F87"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7</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2115D47D" w14:textId="78280DBF" w:rsidR="006A044D" w:rsidRPr="00AC2EE2" w:rsidRDefault="006A044D" w:rsidP="006A044D">
            <w:pPr>
              <w:jc w:val="center"/>
              <w:rPr>
                <w:rFonts w:ascii="Calibri" w:eastAsia="Times New Roman" w:hAnsi="Calibri" w:cs="Arial"/>
                <w:b/>
                <w:sz w:val="20"/>
                <w:szCs w:val="20"/>
              </w:rPr>
            </w:pPr>
            <w:r w:rsidRPr="00AC2EE2">
              <w:rPr>
                <w:rFonts w:ascii="Calibri" w:eastAsia="Times New Roman" w:hAnsi="Calibri" w:cs="Arial"/>
                <w:sz w:val="20"/>
                <w:szCs w:val="20"/>
              </w:rPr>
              <w:t>5</w:t>
            </w:r>
          </w:p>
        </w:tc>
      </w:tr>
      <w:tr w:rsidR="006A044D" w:rsidRPr="00B702D3" w14:paraId="137EFA5D" w14:textId="77777777" w:rsidTr="004547F7">
        <w:trPr>
          <w:trHeight w:val="302"/>
          <w:jc w:val="center"/>
        </w:trPr>
        <w:tc>
          <w:tcPr>
            <w:tcW w:w="9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6236616" w14:textId="2DC908F7"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Percent of Cohort</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710095A" w14:textId="211015F0"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100%</w:t>
            </w:r>
          </w:p>
        </w:tc>
        <w:tc>
          <w:tcPr>
            <w:tcW w:w="66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D436D61" w14:textId="6C1C0D75" w:rsidR="006A044D" w:rsidRPr="00AC2EE2" w:rsidRDefault="006A044D" w:rsidP="006A044D">
            <w:pPr>
              <w:jc w:val="center"/>
              <w:rPr>
                <w:rFonts w:ascii="Calibri" w:eastAsia="Times New Roman" w:hAnsi="Calibri" w:cs="Arial"/>
                <w:b/>
                <w:sz w:val="20"/>
                <w:szCs w:val="20"/>
              </w:rPr>
            </w:pPr>
            <w:r w:rsidRPr="00AC2EE2">
              <w:rPr>
                <w:rFonts w:ascii="Calibri" w:eastAsia="Times New Roman" w:hAnsi="Calibri" w:cs="Arial"/>
                <w:b/>
                <w:sz w:val="20"/>
                <w:szCs w:val="20"/>
              </w:rPr>
              <w:t>59%</w:t>
            </w:r>
          </w:p>
        </w:tc>
        <w:tc>
          <w:tcPr>
            <w:tcW w:w="6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EC7F81A" w14:textId="2DD8B12D"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59%</w:t>
            </w:r>
          </w:p>
        </w:tc>
        <w:tc>
          <w:tcPr>
            <w:tcW w:w="673"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88603CA" w14:textId="38A6A833" w:rsidR="006A044D" w:rsidRPr="00AC2EE2" w:rsidRDefault="006A044D" w:rsidP="006A044D">
            <w:pPr>
              <w:jc w:val="center"/>
              <w:rPr>
                <w:rFonts w:ascii="Calibri" w:eastAsia="Times New Roman" w:hAnsi="Calibri" w:cs="Arial"/>
                <w:b/>
                <w:sz w:val="20"/>
                <w:szCs w:val="20"/>
              </w:rPr>
            </w:pPr>
            <w:r w:rsidRPr="00AC2EE2">
              <w:rPr>
                <w:rFonts w:ascii="Calibri" w:eastAsia="Times New Roman" w:hAnsi="Calibri" w:cs="Arial"/>
                <w:b/>
                <w:sz w:val="20"/>
                <w:szCs w:val="20"/>
              </w:rPr>
              <w:t>41%</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84C5073" w14:textId="1E0B3982" w:rsidR="006A044D" w:rsidRPr="00AC2EE2" w:rsidRDefault="006A044D" w:rsidP="006A044D">
            <w:pPr>
              <w:jc w:val="center"/>
              <w:rPr>
                <w:rFonts w:ascii="Calibri" w:eastAsia="Times New Roman" w:hAnsi="Calibri" w:cs="Arial"/>
                <w:sz w:val="20"/>
                <w:szCs w:val="20"/>
              </w:rPr>
            </w:pPr>
            <w:r w:rsidRPr="00AC2EE2">
              <w:rPr>
                <w:rFonts w:ascii="Calibri" w:eastAsia="Times New Roman" w:hAnsi="Calibri" w:cs="Arial"/>
                <w:sz w:val="20"/>
                <w:szCs w:val="20"/>
              </w:rPr>
              <w:t>41%</w:t>
            </w:r>
          </w:p>
        </w:tc>
        <w:tc>
          <w:tcPr>
            <w:tcW w:w="664" w:type="pct"/>
            <w:tcBorders>
              <w:top w:val="single" w:sz="4" w:space="0" w:color="BFBFBF" w:themeColor="background1" w:themeShade="BF"/>
              <w:bottom w:val="single" w:sz="4" w:space="0" w:color="BFBFBF" w:themeColor="background1" w:themeShade="BF"/>
            </w:tcBorders>
            <w:shd w:val="clear" w:color="auto" w:fill="auto"/>
            <w:noWrap/>
            <w:vAlign w:val="bottom"/>
          </w:tcPr>
          <w:p w14:paraId="12B70D1E" w14:textId="27C3C767" w:rsidR="006A044D" w:rsidRPr="00AC2EE2" w:rsidRDefault="006A044D" w:rsidP="006A044D">
            <w:pPr>
              <w:jc w:val="center"/>
              <w:rPr>
                <w:rFonts w:ascii="Calibri" w:eastAsia="Times New Roman" w:hAnsi="Calibri" w:cs="Arial"/>
                <w:b/>
                <w:sz w:val="20"/>
                <w:szCs w:val="20"/>
              </w:rPr>
            </w:pPr>
            <w:r w:rsidRPr="00AC2EE2">
              <w:rPr>
                <w:rFonts w:ascii="Calibri" w:eastAsia="Times New Roman" w:hAnsi="Calibri" w:cs="Arial"/>
                <w:b/>
                <w:sz w:val="20"/>
                <w:szCs w:val="20"/>
              </w:rPr>
              <w:t>29%</w:t>
            </w:r>
          </w:p>
        </w:tc>
      </w:tr>
    </w:tbl>
    <w:p w14:paraId="5011E715" w14:textId="77777777" w:rsidR="004547F7" w:rsidRPr="00B702D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p>
    <w:p w14:paraId="59DAEC1D" w14:textId="77777777" w:rsidR="004547F7" w:rsidRPr="00B702D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r w:rsidRPr="00B702D3">
        <w:rPr>
          <w:rFonts w:ascii="Calibri" w:eastAsia="Franklin Gothic Book" w:hAnsi="Calibri" w:cs="Times New Roman"/>
          <w:noProof/>
          <w:sz w:val="20"/>
          <w:szCs w:val="20"/>
        </w:rPr>
        <w:drawing>
          <wp:inline distT="0" distB="0" distL="0" distR="0" wp14:anchorId="679DB757" wp14:editId="039A0A99">
            <wp:extent cx="6477000" cy="3190875"/>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A10C6C" w14:textId="77777777" w:rsidR="004547F7" w:rsidRPr="00B702D3" w:rsidRDefault="004547F7" w:rsidP="004547F7">
      <w:pPr>
        <w:autoSpaceDE w:val="0"/>
        <w:autoSpaceDN w:val="0"/>
        <w:adjustRightInd w:val="0"/>
        <w:rPr>
          <w:bCs/>
          <w:sz w:val="16"/>
          <w:szCs w:val="16"/>
        </w:rPr>
      </w:pPr>
    </w:p>
    <w:p w14:paraId="436656B0" w14:textId="77777777" w:rsidR="004547F7" w:rsidRPr="00B702D3" w:rsidRDefault="004547F7" w:rsidP="004547F7">
      <w:pPr>
        <w:autoSpaceDE w:val="0"/>
        <w:autoSpaceDN w:val="0"/>
        <w:adjustRightInd w:val="0"/>
        <w:rPr>
          <w:bCs/>
          <w:sz w:val="16"/>
          <w:szCs w:val="16"/>
        </w:rPr>
      </w:pPr>
    </w:p>
    <w:p w14:paraId="48187468" w14:textId="77777777" w:rsidR="004547F7" w:rsidRPr="00B702D3" w:rsidRDefault="004547F7" w:rsidP="004547F7">
      <w:pPr>
        <w:autoSpaceDE w:val="0"/>
        <w:autoSpaceDN w:val="0"/>
        <w:adjustRightInd w:val="0"/>
        <w:rPr>
          <w:bCs/>
          <w:sz w:val="16"/>
          <w:szCs w:val="16"/>
        </w:rPr>
      </w:pPr>
      <w:r w:rsidRPr="00B702D3">
        <w:rPr>
          <w:bCs/>
          <w:sz w:val="16"/>
          <w:szCs w:val="16"/>
        </w:rPr>
        <w:t>Source: CCCCO Data Mart 2.0 Basic Skills Tracker</w:t>
      </w:r>
    </w:p>
    <w:p w14:paraId="6D3684C8" w14:textId="77777777" w:rsidR="004547F7" w:rsidRPr="00B702D3" w:rsidRDefault="004547F7" w:rsidP="004547F7"/>
    <w:p w14:paraId="5F90E60A" w14:textId="77777777" w:rsidR="004547F7" w:rsidRPr="00B702D3" w:rsidRDefault="004547F7" w:rsidP="004547F7"/>
    <w:p w14:paraId="54D5F15D" w14:textId="77777777" w:rsidR="004547F7" w:rsidRPr="00B702D3" w:rsidRDefault="004547F7" w:rsidP="004547F7">
      <w:r w:rsidRPr="00B702D3">
        <w:t>Golden West</w:t>
      </w:r>
    </w:p>
    <w:p w14:paraId="2E994D8F" w14:textId="58A52FA6" w:rsidR="004547F7" w:rsidRPr="00B702D3" w:rsidRDefault="004547F7" w:rsidP="004547F7">
      <w:r w:rsidRPr="00B702D3">
        <w:t>Over the past five cohorts tracked, the rates at which Golden West English Composition students beginning at two levels below college-level progressed</w:t>
      </w:r>
      <w:r w:rsidR="000C5D1B">
        <w:t xml:space="preserve"> to the next peeked in </w:t>
      </w:r>
      <w:r w:rsidR="000C5D1B" w:rsidRPr="00AC2EE2">
        <w:t>the second</w:t>
      </w:r>
      <w:r w:rsidRPr="00AC2EE2">
        <w:t xml:space="preserve"> cohort but fell </w:t>
      </w:r>
      <w:r w:rsidR="00183E13" w:rsidRPr="00AC2EE2">
        <w:t xml:space="preserve">for </w:t>
      </w:r>
      <w:r w:rsidRPr="00AC2EE2">
        <w:t xml:space="preserve">the last two </w:t>
      </w:r>
      <w:r w:rsidR="00183E13" w:rsidRPr="00AC2EE2">
        <w:t>cohorts</w:t>
      </w:r>
      <w:r w:rsidR="000C5D1B" w:rsidRPr="00AC2EE2">
        <w:t>. Between 25</w:t>
      </w:r>
      <w:r w:rsidRPr="00AC2EE2">
        <w:t xml:space="preserve">% </w:t>
      </w:r>
      <w:r w:rsidRPr="00B702D3">
        <w:t>and 30% successfully progressed and completed the transfer-level Englis</w:t>
      </w:r>
      <w:r w:rsidR="00475686">
        <w:t>h course.</w:t>
      </w:r>
    </w:p>
    <w:p w14:paraId="4A413972" w14:textId="77777777" w:rsidR="004547F7" w:rsidRPr="00B702D3" w:rsidRDefault="004547F7" w:rsidP="004547F7"/>
    <w:p w14:paraId="4345A3BB" w14:textId="77777777" w:rsidR="004547F7" w:rsidRPr="00B702D3" w:rsidRDefault="004547F7" w:rsidP="004547F7">
      <w:pPr>
        <w:autoSpaceDE w:val="0"/>
        <w:autoSpaceDN w:val="0"/>
        <w:adjustRightInd w:val="0"/>
        <w:jc w:val="center"/>
        <w:rPr>
          <w:rFonts w:ascii="Arial" w:eastAsia="Franklin Gothic Book" w:hAnsi="Arial" w:cs="Arial"/>
          <w:b/>
          <w:bCs/>
          <w:sz w:val="20"/>
          <w:szCs w:val="20"/>
        </w:rPr>
      </w:pPr>
      <w:r w:rsidRPr="00B702D3">
        <w:rPr>
          <w:rFonts w:ascii="Arial" w:eastAsia="Franklin Gothic Book" w:hAnsi="Arial" w:cs="Arial"/>
          <w:b/>
          <w:bCs/>
          <w:sz w:val="20"/>
          <w:szCs w:val="20"/>
        </w:rPr>
        <w:t>Golden West English Basic Skills Students Progression to College Level within Two Years</w:t>
      </w:r>
    </w:p>
    <w:tbl>
      <w:tblPr>
        <w:tblW w:w="9868" w:type="dxa"/>
        <w:jc w:val="center"/>
        <w:tblCellMar>
          <w:left w:w="0" w:type="dxa"/>
          <w:right w:w="0" w:type="dxa"/>
        </w:tblCellMar>
        <w:tblLook w:val="04A0" w:firstRow="1" w:lastRow="0" w:firstColumn="1" w:lastColumn="0" w:noHBand="0" w:noVBand="1"/>
      </w:tblPr>
      <w:tblGrid>
        <w:gridCol w:w="1982"/>
        <w:gridCol w:w="1315"/>
        <w:gridCol w:w="1316"/>
        <w:gridCol w:w="1326"/>
        <w:gridCol w:w="1310"/>
        <w:gridCol w:w="16"/>
        <w:gridCol w:w="1310"/>
        <w:gridCol w:w="1293"/>
      </w:tblGrid>
      <w:tr w:rsidR="004547F7" w:rsidRPr="00B702D3" w14:paraId="73D6ECD5" w14:textId="77777777" w:rsidTr="009B39B0">
        <w:trPr>
          <w:trHeight w:val="302"/>
          <w:jc w:val="center"/>
        </w:trPr>
        <w:tc>
          <w:tcPr>
            <w:tcW w:w="1004"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61A70430" w14:textId="77777777" w:rsidR="004547F7" w:rsidRPr="00B702D3" w:rsidRDefault="004547F7" w:rsidP="004547F7">
            <w:pPr>
              <w:jc w:val="center"/>
              <w:rPr>
                <w:rFonts w:ascii="Calibri" w:eastAsia="Times New Roman" w:hAnsi="Calibri" w:cs="Arial"/>
                <w:b/>
                <w:bCs/>
                <w:sz w:val="20"/>
                <w:szCs w:val="20"/>
                <w:u w:val="thick"/>
              </w:rPr>
            </w:pPr>
            <w:r w:rsidRPr="00B702D3">
              <w:rPr>
                <w:rFonts w:ascii="Calibri" w:eastAsia="Times New Roman" w:hAnsi="Calibri" w:cs="Arial"/>
                <w:b/>
                <w:bCs/>
                <w:sz w:val="20"/>
                <w:szCs w:val="20"/>
                <w:u w:val="thick"/>
              </w:rPr>
              <w:t>Golden West</w:t>
            </w:r>
          </w:p>
        </w:tc>
        <w:tc>
          <w:tcPr>
            <w:tcW w:w="1333"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F589BAC"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Two Levels Below Transfer</w:t>
            </w:r>
          </w:p>
        </w:tc>
        <w:tc>
          <w:tcPr>
            <w:tcW w:w="1336"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5590773"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One Level Below Transfer</w:t>
            </w:r>
          </w:p>
        </w:tc>
        <w:tc>
          <w:tcPr>
            <w:tcW w:w="1328" w:type="pct"/>
            <w:gridSpan w:val="3"/>
            <w:tcBorders>
              <w:left w:val="single" w:sz="4" w:space="0" w:color="BFBFBF" w:themeColor="background1" w:themeShade="BF"/>
              <w:bottom w:val="single" w:sz="4" w:space="0" w:color="BFBFBF" w:themeColor="background1" w:themeShade="BF"/>
            </w:tcBorders>
            <w:shd w:val="clear" w:color="auto" w:fill="auto"/>
            <w:vAlign w:val="bottom"/>
          </w:tcPr>
          <w:p w14:paraId="237FAB2F"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Transferable</w:t>
            </w:r>
          </w:p>
        </w:tc>
      </w:tr>
      <w:tr w:rsidR="004547F7" w:rsidRPr="00B702D3" w14:paraId="0C50BCAC"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748A184"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English Writing</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868FB6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E82607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ABB5CD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0E68DD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7DD094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65B92F1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r>
      <w:tr w:rsidR="004547F7" w:rsidRPr="00B702D3" w14:paraId="3E91C380"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697B58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11    to    Spring 13</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51C3E8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269</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798BC1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181</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9752E9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155</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F88A46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118</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818E07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76</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0D66DF5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67</w:t>
            </w:r>
          </w:p>
        </w:tc>
      </w:tr>
      <w:tr w:rsidR="004547F7" w:rsidRPr="00B702D3" w14:paraId="116B61FD"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905CB4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E5380E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48648A3"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67%</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E9D59C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58%</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589E27C"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44%</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5C29C1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28%</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55EA1D1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25%</w:t>
            </w:r>
          </w:p>
        </w:tc>
      </w:tr>
      <w:tr w:rsidR="004547F7" w:rsidRPr="00B702D3" w14:paraId="0459B6FE"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F9ADDD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12    to    Spring 14</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33D13B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239</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929229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162</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A2040D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140</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265217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113</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CC2DC5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85</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4A8C530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66</w:t>
            </w:r>
          </w:p>
        </w:tc>
      </w:tr>
      <w:tr w:rsidR="004547F7" w:rsidRPr="00B702D3" w14:paraId="74082839"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0CDEF6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7657CE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B74D4BB"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68%</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C11B4D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59%</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E54858F"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47%</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B94A1C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36%</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500F3F9C"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28%</w:t>
            </w:r>
          </w:p>
        </w:tc>
      </w:tr>
      <w:tr w:rsidR="004547F7" w:rsidRPr="00B702D3" w14:paraId="2D3F85B9"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7FC09C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13    to    Spring 15</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B0F962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281</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000D41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184</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AD5B32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152</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34794F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120</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C2BD7C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92</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59019860" w14:textId="7C0F0BD2"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w:t>
            </w:r>
            <w:r w:rsidR="004F53F9">
              <w:rPr>
                <w:rFonts w:ascii="Calibri" w:eastAsia="Times New Roman" w:hAnsi="Calibri" w:cs="Arial"/>
                <w:sz w:val="20"/>
                <w:szCs w:val="20"/>
              </w:rPr>
              <w:t>1</w:t>
            </w:r>
          </w:p>
        </w:tc>
      </w:tr>
      <w:tr w:rsidR="004547F7" w:rsidRPr="00B702D3" w14:paraId="4B04F807"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8F9E4C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5CB30B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F199933"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65%</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41731D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54%</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8E0BA5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43%</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05940E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33%</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3B1C62BE"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25%</w:t>
            </w:r>
          </w:p>
        </w:tc>
      </w:tr>
      <w:tr w:rsidR="004547F7" w:rsidRPr="00B702D3" w14:paraId="7C2B5D2D"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8ABF8B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14    to    Spring 16</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870511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321</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7E4322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197</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863F41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153</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D987AA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120</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DA690E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103</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0A1253F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96</w:t>
            </w:r>
          </w:p>
        </w:tc>
      </w:tr>
      <w:tr w:rsidR="004547F7" w:rsidRPr="00B702D3" w14:paraId="56F5CC19"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6A287A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439DDC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AFD7D78"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61%</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9C3598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48%</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64F8B4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37%</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49E215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32%</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3170FF10"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30%</w:t>
            </w:r>
          </w:p>
        </w:tc>
      </w:tr>
      <w:tr w:rsidR="009B39B0" w:rsidRPr="00AC2EE2" w14:paraId="241A2CD3"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868FFF9" w14:textId="4C8CA223"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Fall 15    to    Spring 17</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F30DAC9" w14:textId="4714261E"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288</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0462E02" w14:textId="7F4A667B" w:rsidR="009B39B0" w:rsidRPr="00AC2EE2" w:rsidRDefault="009B39B0" w:rsidP="009B39B0">
            <w:pPr>
              <w:jc w:val="center"/>
              <w:rPr>
                <w:rFonts w:ascii="Calibri" w:eastAsia="Times New Roman" w:hAnsi="Calibri" w:cs="Arial"/>
                <w:b/>
                <w:sz w:val="20"/>
                <w:szCs w:val="20"/>
              </w:rPr>
            </w:pPr>
            <w:r w:rsidRPr="00AC2EE2">
              <w:rPr>
                <w:rFonts w:ascii="Calibri" w:eastAsia="Times New Roman" w:hAnsi="Calibri" w:cs="Arial"/>
                <w:sz w:val="20"/>
                <w:szCs w:val="20"/>
              </w:rPr>
              <w:t>168</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F5FC62A" w14:textId="4C0B43B6"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145</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841FF04" w14:textId="76357A1C" w:rsidR="009B39B0" w:rsidRPr="00AC2EE2" w:rsidRDefault="009B39B0" w:rsidP="009B39B0">
            <w:pPr>
              <w:jc w:val="center"/>
              <w:rPr>
                <w:rFonts w:ascii="Calibri" w:eastAsia="Times New Roman" w:hAnsi="Calibri" w:cs="Arial"/>
                <w:b/>
                <w:sz w:val="20"/>
                <w:szCs w:val="20"/>
              </w:rPr>
            </w:pPr>
            <w:r w:rsidRPr="00AC2EE2">
              <w:rPr>
                <w:rFonts w:ascii="Calibri" w:eastAsia="Times New Roman" w:hAnsi="Calibri" w:cs="Arial"/>
                <w:sz w:val="20"/>
                <w:szCs w:val="20"/>
              </w:rPr>
              <w:t>118</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6E11A69" w14:textId="68457983"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9</w:t>
            </w:r>
            <w:r w:rsidR="004F53F9" w:rsidRPr="00AC2EE2">
              <w:rPr>
                <w:rFonts w:ascii="Calibri" w:eastAsia="Times New Roman" w:hAnsi="Calibri" w:cs="Arial"/>
                <w:sz w:val="20"/>
                <w:szCs w:val="20"/>
              </w:rPr>
              <w:t>5</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34BF25CE" w14:textId="4C538B1A" w:rsidR="009B39B0" w:rsidRPr="00AC2EE2" w:rsidRDefault="009B39B0" w:rsidP="009B39B0">
            <w:pPr>
              <w:jc w:val="center"/>
              <w:rPr>
                <w:rFonts w:ascii="Calibri" w:eastAsia="Times New Roman" w:hAnsi="Calibri" w:cs="Arial"/>
                <w:b/>
                <w:sz w:val="20"/>
                <w:szCs w:val="20"/>
              </w:rPr>
            </w:pPr>
            <w:r w:rsidRPr="00AC2EE2">
              <w:rPr>
                <w:rFonts w:ascii="Calibri" w:eastAsia="Times New Roman" w:hAnsi="Calibri" w:cs="Arial"/>
                <w:sz w:val="20"/>
                <w:szCs w:val="20"/>
              </w:rPr>
              <w:t>8</w:t>
            </w:r>
            <w:r w:rsidR="004F53F9" w:rsidRPr="00AC2EE2">
              <w:rPr>
                <w:rFonts w:ascii="Calibri" w:eastAsia="Times New Roman" w:hAnsi="Calibri" w:cs="Arial"/>
                <w:sz w:val="20"/>
                <w:szCs w:val="20"/>
              </w:rPr>
              <w:t>2</w:t>
            </w:r>
          </w:p>
        </w:tc>
      </w:tr>
      <w:tr w:rsidR="009B39B0" w:rsidRPr="00AC2EE2" w14:paraId="639CDD59" w14:textId="77777777" w:rsidTr="009B39B0">
        <w:trPr>
          <w:trHeight w:val="302"/>
          <w:jc w:val="center"/>
        </w:trPr>
        <w:tc>
          <w:tcPr>
            <w:tcW w:w="100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32751F8" w14:textId="333F0CE9"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Percent of Cohort</w:t>
            </w:r>
          </w:p>
        </w:tc>
        <w:tc>
          <w:tcPr>
            <w:tcW w:w="66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68050DD" w14:textId="46F3CB94"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100%</w:t>
            </w:r>
          </w:p>
        </w:tc>
        <w:tc>
          <w:tcPr>
            <w:tcW w:w="66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AB09D8" w14:textId="6BC8D836" w:rsidR="009B39B0" w:rsidRPr="00AC2EE2" w:rsidRDefault="009B39B0" w:rsidP="009B39B0">
            <w:pPr>
              <w:jc w:val="center"/>
              <w:rPr>
                <w:rFonts w:ascii="Calibri" w:eastAsia="Times New Roman" w:hAnsi="Calibri" w:cs="Arial"/>
                <w:b/>
                <w:sz w:val="20"/>
                <w:szCs w:val="20"/>
              </w:rPr>
            </w:pPr>
            <w:r w:rsidRPr="00AC2EE2">
              <w:rPr>
                <w:rFonts w:ascii="Calibri" w:eastAsia="Times New Roman" w:hAnsi="Calibri" w:cs="Arial"/>
                <w:b/>
                <w:sz w:val="20"/>
                <w:szCs w:val="20"/>
              </w:rPr>
              <w:t>58%</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3A5A253" w14:textId="70F6F67D"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50%</w:t>
            </w:r>
          </w:p>
        </w:tc>
        <w:tc>
          <w:tcPr>
            <w:tcW w:w="672"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451117B" w14:textId="1B4519DC" w:rsidR="009B39B0" w:rsidRPr="00AC2EE2" w:rsidRDefault="009B39B0" w:rsidP="009B39B0">
            <w:pPr>
              <w:jc w:val="center"/>
              <w:rPr>
                <w:rFonts w:ascii="Calibri" w:eastAsia="Times New Roman" w:hAnsi="Calibri" w:cs="Arial"/>
                <w:b/>
                <w:sz w:val="20"/>
                <w:szCs w:val="20"/>
              </w:rPr>
            </w:pPr>
            <w:r w:rsidRPr="00AC2EE2">
              <w:rPr>
                <w:rFonts w:ascii="Calibri" w:eastAsia="Times New Roman" w:hAnsi="Calibri" w:cs="Arial"/>
                <w:b/>
                <w:sz w:val="20"/>
                <w:szCs w:val="20"/>
              </w:rPr>
              <w:t>41%</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51898E3" w14:textId="7B0C922B" w:rsidR="009B39B0" w:rsidRPr="00AC2EE2" w:rsidRDefault="009B39B0" w:rsidP="009B39B0">
            <w:pPr>
              <w:jc w:val="center"/>
              <w:rPr>
                <w:rFonts w:ascii="Calibri" w:eastAsia="Times New Roman" w:hAnsi="Calibri" w:cs="Arial"/>
                <w:sz w:val="20"/>
                <w:szCs w:val="20"/>
              </w:rPr>
            </w:pPr>
            <w:r w:rsidRPr="00AC2EE2">
              <w:rPr>
                <w:rFonts w:ascii="Calibri" w:eastAsia="Times New Roman" w:hAnsi="Calibri" w:cs="Arial"/>
                <w:sz w:val="20"/>
                <w:szCs w:val="20"/>
              </w:rPr>
              <w:t>33%</w:t>
            </w:r>
          </w:p>
        </w:tc>
        <w:tc>
          <w:tcPr>
            <w:tcW w:w="656" w:type="pct"/>
            <w:tcBorders>
              <w:top w:val="single" w:sz="4" w:space="0" w:color="BFBFBF" w:themeColor="background1" w:themeShade="BF"/>
              <w:bottom w:val="single" w:sz="4" w:space="0" w:color="BFBFBF" w:themeColor="background1" w:themeShade="BF"/>
            </w:tcBorders>
            <w:shd w:val="clear" w:color="auto" w:fill="auto"/>
            <w:noWrap/>
            <w:vAlign w:val="bottom"/>
          </w:tcPr>
          <w:p w14:paraId="7BAE2A62" w14:textId="0E087863" w:rsidR="009B39B0" w:rsidRPr="00AC2EE2" w:rsidRDefault="009B39B0" w:rsidP="009B39B0">
            <w:pPr>
              <w:jc w:val="center"/>
              <w:rPr>
                <w:rFonts w:ascii="Calibri" w:eastAsia="Times New Roman" w:hAnsi="Calibri" w:cs="Arial"/>
                <w:b/>
                <w:sz w:val="20"/>
                <w:szCs w:val="20"/>
              </w:rPr>
            </w:pPr>
            <w:r w:rsidRPr="00AC2EE2">
              <w:rPr>
                <w:rFonts w:ascii="Calibri" w:eastAsia="Times New Roman" w:hAnsi="Calibri" w:cs="Arial"/>
                <w:b/>
                <w:sz w:val="20"/>
                <w:szCs w:val="20"/>
              </w:rPr>
              <w:t>28%</w:t>
            </w:r>
          </w:p>
        </w:tc>
      </w:tr>
    </w:tbl>
    <w:p w14:paraId="2EA3B945" w14:textId="77777777" w:rsidR="004547F7" w:rsidRPr="00B702D3" w:rsidRDefault="004547F7" w:rsidP="004547F7">
      <w:pPr>
        <w:tabs>
          <w:tab w:val="left" w:leader="dot" w:pos="5738"/>
          <w:tab w:val="left" w:pos="8135"/>
        </w:tabs>
        <w:autoSpaceDE w:val="0"/>
        <w:autoSpaceDN w:val="0"/>
        <w:adjustRightInd w:val="0"/>
        <w:jc w:val="center"/>
        <w:rPr>
          <w:rFonts w:ascii="Franklin Gothic Book" w:eastAsia="Franklin Gothic Book" w:hAnsi="Franklin Gothic Book" w:cs="Times New Roman"/>
        </w:rPr>
      </w:pPr>
    </w:p>
    <w:p w14:paraId="5A074BE7" w14:textId="77777777" w:rsidR="004547F7" w:rsidRPr="00B702D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r w:rsidRPr="00B702D3">
        <w:rPr>
          <w:rFonts w:ascii="Calibri" w:eastAsia="Franklin Gothic Book" w:hAnsi="Calibri" w:cs="Times New Roman"/>
          <w:noProof/>
          <w:sz w:val="16"/>
          <w:szCs w:val="16"/>
        </w:rPr>
        <w:lastRenderedPageBreak/>
        <w:drawing>
          <wp:inline distT="0" distB="0" distL="0" distR="0" wp14:anchorId="1F608A80" wp14:editId="5051DD6A">
            <wp:extent cx="6936377" cy="3370217"/>
            <wp:effectExtent l="0" t="0" r="0" b="190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F7D3D4" w14:textId="77777777" w:rsidR="004547F7" w:rsidRPr="00B702D3" w:rsidRDefault="004547F7" w:rsidP="004547F7">
      <w:pPr>
        <w:autoSpaceDE w:val="0"/>
        <w:autoSpaceDN w:val="0"/>
        <w:adjustRightInd w:val="0"/>
        <w:rPr>
          <w:bCs/>
          <w:sz w:val="16"/>
          <w:szCs w:val="16"/>
        </w:rPr>
      </w:pPr>
    </w:p>
    <w:p w14:paraId="12864FF9" w14:textId="77777777" w:rsidR="004547F7" w:rsidRPr="00B702D3" w:rsidRDefault="004547F7" w:rsidP="004547F7">
      <w:pPr>
        <w:autoSpaceDE w:val="0"/>
        <w:autoSpaceDN w:val="0"/>
        <w:adjustRightInd w:val="0"/>
        <w:rPr>
          <w:bCs/>
          <w:sz w:val="16"/>
          <w:szCs w:val="16"/>
        </w:rPr>
      </w:pPr>
    </w:p>
    <w:p w14:paraId="45B6C2C5" w14:textId="77777777" w:rsidR="004547F7" w:rsidRPr="00B702D3" w:rsidRDefault="004547F7" w:rsidP="004547F7">
      <w:pPr>
        <w:autoSpaceDE w:val="0"/>
        <w:autoSpaceDN w:val="0"/>
        <w:adjustRightInd w:val="0"/>
        <w:rPr>
          <w:bCs/>
          <w:sz w:val="16"/>
          <w:szCs w:val="16"/>
        </w:rPr>
      </w:pPr>
      <w:r w:rsidRPr="00B702D3">
        <w:rPr>
          <w:bCs/>
          <w:sz w:val="16"/>
          <w:szCs w:val="16"/>
        </w:rPr>
        <w:t>Source: CCCCO Data Mart 2.0 Basic Skills Tracker</w:t>
      </w:r>
    </w:p>
    <w:p w14:paraId="0F5AEC11" w14:textId="77777777" w:rsidR="004547F7" w:rsidRPr="00B702D3" w:rsidRDefault="004547F7" w:rsidP="004547F7"/>
    <w:p w14:paraId="2E1EFC41" w14:textId="77777777" w:rsidR="004547F7" w:rsidRPr="00B702D3" w:rsidRDefault="004547F7" w:rsidP="004547F7">
      <w:r w:rsidRPr="00B702D3">
        <w:br w:type="page"/>
      </w:r>
    </w:p>
    <w:p w14:paraId="75C0064D" w14:textId="77777777" w:rsidR="004547F7" w:rsidRPr="00B702D3" w:rsidRDefault="004547F7" w:rsidP="004547F7">
      <w:r w:rsidRPr="00B702D3">
        <w:lastRenderedPageBreak/>
        <w:t>Orange Coast</w:t>
      </w:r>
    </w:p>
    <w:p w14:paraId="62BEBD1E" w14:textId="3844D430" w:rsidR="004547F7" w:rsidRPr="00AC2EE2" w:rsidRDefault="004547F7" w:rsidP="004547F7">
      <w:r w:rsidRPr="00B702D3">
        <w:t xml:space="preserve">The rates at which Orange Coast English Composition students beginning at two levels below college-level were successful </w:t>
      </w:r>
      <w:r w:rsidR="00D16B58">
        <w:t xml:space="preserve">were as high </w:t>
      </w:r>
      <w:r w:rsidR="00D16B58" w:rsidRPr="00AC2EE2">
        <w:t>as 74</w:t>
      </w:r>
      <w:r w:rsidRPr="00AC2EE2">
        <w:t>% and</w:t>
      </w:r>
      <w:r w:rsidR="00FD33F5" w:rsidRPr="00AC2EE2">
        <w:t xml:space="preserve"> as low as 64% </w:t>
      </w:r>
      <w:r w:rsidRPr="00AC2EE2">
        <w:t>over the last five cohorts. Similarly</w:t>
      </w:r>
      <w:r w:rsidR="00475686" w:rsidRPr="00AC2EE2">
        <w:t>,</w:t>
      </w:r>
      <w:r w:rsidRPr="00AC2EE2">
        <w:t xml:space="preserve"> for those students who progress to one-level be</w:t>
      </w:r>
      <w:r w:rsidR="00D16B58" w:rsidRPr="00AC2EE2">
        <w:t>low, their rates</w:t>
      </w:r>
      <w:r w:rsidR="00B3727D" w:rsidRPr="00AC2EE2">
        <w:t xml:space="preserve"> ranged </w:t>
      </w:r>
      <w:r w:rsidR="00D16B58" w:rsidRPr="00AC2EE2">
        <w:t>from 51</w:t>
      </w:r>
      <w:r w:rsidRPr="00AC2EE2">
        <w:t xml:space="preserve">% to </w:t>
      </w:r>
      <w:r w:rsidR="00B3727D" w:rsidRPr="00AC2EE2">
        <w:t>37</w:t>
      </w:r>
      <w:r w:rsidR="00EA28C2" w:rsidRPr="00AC2EE2">
        <w:t>%</w:t>
      </w:r>
      <w:r w:rsidR="00B3727D" w:rsidRPr="00AC2EE2">
        <w:t>, and are at 51% for 2015-17</w:t>
      </w:r>
      <w:r w:rsidRPr="00AC2EE2">
        <w:t>. However, the rates of students who progressed successfully to transfer</w:t>
      </w:r>
      <w:r w:rsidR="005A714A" w:rsidRPr="00AC2EE2">
        <w:t>-level held st</w:t>
      </w:r>
      <w:r w:rsidR="00D16B58" w:rsidRPr="00AC2EE2">
        <w:t>eady and increased</w:t>
      </w:r>
      <w:r w:rsidR="005A714A" w:rsidRPr="00AC2EE2">
        <w:t xml:space="preserve"> from </w:t>
      </w:r>
      <w:r w:rsidR="00FD33F5" w:rsidRPr="00AC2EE2">
        <w:t xml:space="preserve">a low of </w:t>
      </w:r>
      <w:r w:rsidR="005A714A" w:rsidRPr="00AC2EE2">
        <w:t>19</w:t>
      </w:r>
      <w:r w:rsidR="00D16B58" w:rsidRPr="00AC2EE2">
        <w:t>% to 26</w:t>
      </w:r>
      <w:r w:rsidR="00EA28C2" w:rsidRPr="00AC2EE2">
        <w:t>%</w:t>
      </w:r>
      <w:r w:rsidR="00FD33F5" w:rsidRPr="00AC2EE2">
        <w:t xml:space="preserve"> in 2015-17</w:t>
      </w:r>
      <w:r w:rsidRPr="00AC2EE2">
        <w:t xml:space="preserve">. </w:t>
      </w:r>
    </w:p>
    <w:p w14:paraId="4A6A1F8F" w14:textId="77777777" w:rsidR="004547F7" w:rsidRPr="00B702D3" w:rsidRDefault="004547F7" w:rsidP="004547F7"/>
    <w:p w14:paraId="64498DDC" w14:textId="77777777" w:rsidR="004547F7" w:rsidRPr="00B702D3" w:rsidRDefault="004547F7" w:rsidP="004547F7">
      <w:pPr>
        <w:autoSpaceDE w:val="0"/>
        <w:autoSpaceDN w:val="0"/>
        <w:adjustRightInd w:val="0"/>
        <w:jc w:val="center"/>
        <w:rPr>
          <w:rFonts w:ascii="Arial" w:eastAsia="Franklin Gothic Book" w:hAnsi="Arial" w:cs="Arial"/>
          <w:b/>
          <w:bCs/>
          <w:sz w:val="20"/>
          <w:szCs w:val="20"/>
        </w:rPr>
      </w:pPr>
      <w:r w:rsidRPr="00B702D3">
        <w:rPr>
          <w:rFonts w:ascii="Arial" w:eastAsia="Franklin Gothic Book" w:hAnsi="Arial" w:cs="Arial"/>
          <w:b/>
          <w:bCs/>
          <w:sz w:val="20"/>
          <w:szCs w:val="20"/>
        </w:rPr>
        <w:t>Orange Coast English Basic Skills Students Progression to College Level within Two Years</w:t>
      </w:r>
    </w:p>
    <w:tbl>
      <w:tblPr>
        <w:tblW w:w="9850" w:type="dxa"/>
        <w:jc w:val="center"/>
        <w:tblLook w:val="04A0" w:firstRow="1" w:lastRow="0" w:firstColumn="1" w:lastColumn="0" w:noHBand="0" w:noVBand="1"/>
      </w:tblPr>
      <w:tblGrid>
        <w:gridCol w:w="2083"/>
        <w:gridCol w:w="1294"/>
        <w:gridCol w:w="1298"/>
        <w:gridCol w:w="1306"/>
        <w:gridCol w:w="1292"/>
        <w:gridCol w:w="8"/>
        <w:gridCol w:w="1279"/>
        <w:gridCol w:w="1290"/>
      </w:tblGrid>
      <w:tr w:rsidR="004547F7" w:rsidRPr="00B702D3" w14:paraId="4B9754F5" w14:textId="77777777" w:rsidTr="004547F7">
        <w:trPr>
          <w:trHeight w:val="302"/>
          <w:jc w:val="center"/>
        </w:trPr>
        <w:tc>
          <w:tcPr>
            <w:tcW w:w="1057"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74D413C0" w14:textId="77777777" w:rsidR="004547F7" w:rsidRPr="00B702D3" w:rsidRDefault="004547F7" w:rsidP="004547F7">
            <w:pPr>
              <w:jc w:val="center"/>
              <w:rPr>
                <w:rFonts w:ascii="Calibri" w:eastAsia="Times New Roman" w:hAnsi="Calibri" w:cs="Arial"/>
                <w:b/>
                <w:bCs/>
                <w:sz w:val="20"/>
                <w:szCs w:val="20"/>
                <w:u w:val="thick"/>
              </w:rPr>
            </w:pPr>
            <w:r w:rsidRPr="00B702D3">
              <w:rPr>
                <w:rFonts w:ascii="Calibri" w:eastAsia="Times New Roman" w:hAnsi="Calibri" w:cs="Arial"/>
                <w:b/>
                <w:bCs/>
                <w:sz w:val="20"/>
                <w:szCs w:val="20"/>
                <w:u w:val="thick"/>
              </w:rPr>
              <w:t>Orange Coast</w:t>
            </w:r>
          </w:p>
        </w:tc>
        <w:tc>
          <w:tcPr>
            <w:tcW w:w="1316"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7069CFF"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Two Levels Below Transfer</w:t>
            </w:r>
          </w:p>
        </w:tc>
        <w:tc>
          <w:tcPr>
            <w:tcW w:w="1319"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3C19A03"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One Level Below Transfer</w:t>
            </w:r>
          </w:p>
        </w:tc>
        <w:tc>
          <w:tcPr>
            <w:tcW w:w="1308" w:type="pct"/>
            <w:gridSpan w:val="3"/>
            <w:tcBorders>
              <w:left w:val="single" w:sz="4" w:space="0" w:color="BFBFBF" w:themeColor="background1" w:themeShade="BF"/>
              <w:bottom w:val="single" w:sz="4" w:space="0" w:color="BFBFBF" w:themeColor="background1" w:themeShade="BF"/>
            </w:tcBorders>
            <w:shd w:val="clear" w:color="auto" w:fill="auto"/>
            <w:vAlign w:val="bottom"/>
          </w:tcPr>
          <w:p w14:paraId="553E217B"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Transferable</w:t>
            </w:r>
          </w:p>
        </w:tc>
      </w:tr>
      <w:tr w:rsidR="004547F7" w:rsidRPr="00B702D3" w14:paraId="1B3057EC"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7A31CB7"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English Writing</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791469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B4CD0F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CFA491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8D390C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766522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bottom"/>
          </w:tcPr>
          <w:p w14:paraId="5B6A61A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r>
      <w:tr w:rsidR="004547F7" w:rsidRPr="00B702D3" w14:paraId="3CDAF5C0"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5CBB714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11    to    Spring 13</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1DF5521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170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759FC2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123</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022BB49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112</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1BCF7A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87</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9767F5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62</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4201099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47</w:t>
            </w:r>
          </w:p>
        </w:tc>
      </w:tr>
      <w:tr w:rsidR="004547F7" w:rsidRPr="00B702D3" w14:paraId="6D36FAEF"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7128A3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5D4C193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B6F7120"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72%</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0D53A9E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66%</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DAA9FA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51%</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75BB5FC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36%</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3055F8CF"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28%</w:t>
            </w:r>
          </w:p>
        </w:tc>
      </w:tr>
      <w:tr w:rsidR="004547F7" w:rsidRPr="00B702D3" w14:paraId="363E4C2E"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145859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12    to    Spring 14</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1322683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208</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A03E92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143</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731476B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106</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31AA2B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77</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5FE04F4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58</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3B4DE45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40</w:t>
            </w:r>
          </w:p>
        </w:tc>
      </w:tr>
      <w:tr w:rsidR="004547F7" w:rsidRPr="00B702D3" w14:paraId="08DD91B4"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EFD416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24C1D05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A62C35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69%</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79EBE43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51%</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99F4AD4"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37%</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1F06850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28%</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582B1BFD"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19%</w:t>
            </w:r>
          </w:p>
        </w:tc>
      </w:tr>
      <w:tr w:rsidR="004547F7" w:rsidRPr="00B702D3" w14:paraId="64E17E01"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72B633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13    to    Spring 15</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168ABB2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175</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33AB68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129</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5E78964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105</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32A281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86</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134FDAD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62</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798B023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52</w:t>
            </w:r>
          </w:p>
        </w:tc>
      </w:tr>
      <w:tr w:rsidR="004547F7" w:rsidRPr="00B702D3" w14:paraId="6D7061D3"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9ABCDD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0F04BD6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3E1C08D"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74%</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46A4AF4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60%</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6E5DAC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49%</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B074B9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35%</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51EC3314"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30%</w:t>
            </w:r>
          </w:p>
        </w:tc>
      </w:tr>
      <w:tr w:rsidR="004547F7" w:rsidRPr="00B702D3" w14:paraId="6C9E62E8"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B65DA8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14    to    Spring 16</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5D7C74A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236</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A9348A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150</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4F57651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119</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6CF150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102</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316775C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97</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691F30C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70</w:t>
            </w:r>
          </w:p>
        </w:tc>
      </w:tr>
      <w:tr w:rsidR="004547F7" w:rsidRPr="00B702D3" w14:paraId="18CB89C2"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34555B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65F63BF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268A2C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64%</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7339201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50%</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190882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43%</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50C4987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41%</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211AB62C"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30%</w:t>
            </w:r>
          </w:p>
        </w:tc>
      </w:tr>
      <w:tr w:rsidR="00D77FB8" w:rsidRPr="00AC2EE2" w14:paraId="21D2AF87"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B927E0A" w14:textId="0D0E4087" w:rsidR="00D77FB8" w:rsidRPr="00AC2EE2" w:rsidRDefault="00D77FB8" w:rsidP="00D77FB8">
            <w:pPr>
              <w:jc w:val="center"/>
              <w:rPr>
                <w:rFonts w:ascii="Calibri" w:eastAsia="Times New Roman" w:hAnsi="Calibri" w:cs="Arial"/>
                <w:sz w:val="20"/>
                <w:szCs w:val="20"/>
              </w:rPr>
            </w:pPr>
            <w:r w:rsidRPr="00AC2EE2">
              <w:rPr>
                <w:rFonts w:ascii="Calibri" w:eastAsia="Times New Roman" w:hAnsi="Calibri" w:cs="Arial"/>
                <w:sz w:val="20"/>
                <w:szCs w:val="20"/>
              </w:rPr>
              <w:t>Fall 15    to    Spring 17</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2DFA19C7" w14:textId="1B697EF8" w:rsidR="00D77FB8" w:rsidRPr="00AC2EE2" w:rsidRDefault="00D77FB8" w:rsidP="00D77FB8">
            <w:pPr>
              <w:jc w:val="center"/>
              <w:rPr>
                <w:rFonts w:ascii="Calibri" w:eastAsia="Times New Roman" w:hAnsi="Calibri" w:cs="Arial"/>
                <w:sz w:val="20"/>
                <w:szCs w:val="20"/>
              </w:rPr>
            </w:pPr>
            <w:r w:rsidRPr="00AC2EE2">
              <w:rPr>
                <w:rFonts w:ascii="Calibri" w:eastAsia="Times New Roman" w:hAnsi="Calibri" w:cs="Arial"/>
                <w:sz w:val="20"/>
                <w:szCs w:val="20"/>
              </w:rPr>
              <w:t>251</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EBBC075" w14:textId="13AC994F" w:rsidR="00D77FB8" w:rsidRPr="00AC2EE2" w:rsidRDefault="00D77FB8" w:rsidP="00D77FB8">
            <w:pPr>
              <w:jc w:val="center"/>
              <w:rPr>
                <w:rFonts w:ascii="Calibri" w:eastAsia="Times New Roman" w:hAnsi="Calibri" w:cs="Arial"/>
                <w:b/>
                <w:sz w:val="20"/>
                <w:szCs w:val="20"/>
              </w:rPr>
            </w:pPr>
            <w:r w:rsidRPr="00AC2EE2">
              <w:rPr>
                <w:rFonts w:ascii="Calibri" w:eastAsia="Times New Roman" w:hAnsi="Calibri" w:cs="Arial"/>
                <w:sz w:val="20"/>
                <w:szCs w:val="20"/>
              </w:rPr>
              <w:t>176</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33D32830" w14:textId="7EC677E9" w:rsidR="00D77FB8" w:rsidRPr="00AC2EE2" w:rsidRDefault="00D77FB8" w:rsidP="00D77FB8">
            <w:pPr>
              <w:jc w:val="center"/>
              <w:rPr>
                <w:rFonts w:ascii="Calibri" w:eastAsia="Times New Roman" w:hAnsi="Calibri" w:cs="Arial"/>
                <w:sz w:val="20"/>
                <w:szCs w:val="20"/>
              </w:rPr>
            </w:pPr>
            <w:r w:rsidRPr="00AC2EE2">
              <w:rPr>
                <w:rFonts w:ascii="Calibri" w:eastAsia="Times New Roman" w:hAnsi="Calibri" w:cs="Arial"/>
                <w:sz w:val="20"/>
                <w:szCs w:val="20"/>
              </w:rPr>
              <w:t>149</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6B991A1" w14:textId="2ABEF9CD" w:rsidR="00D77FB8" w:rsidRPr="00AC2EE2" w:rsidRDefault="00D77FB8" w:rsidP="00D77FB8">
            <w:pPr>
              <w:jc w:val="center"/>
              <w:rPr>
                <w:rFonts w:ascii="Calibri" w:eastAsia="Times New Roman" w:hAnsi="Calibri" w:cs="Arial"/>
                <w:b/>
                <w:sz w:val="20"/>
                <w:szCs w:val="20"/>
              </w:rPr>
            </w:pPr>
            <w:r w:rsidRPr="00AC2EE2">
              <w:rPr>
                <w:rFonts w:ascii="Calibri" w:eastAsia="Times New Roman" w:hAnsi="Calibri" w:cs="Arial"/>
                <w:sz w:val="20"/>
                <w:szCs w:val="20"/>
              </w:rPr>
              <w:t>127</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58149F4F" w14:textId="085EFC61" w:rsidR="00D77FB8" w:rsidRPr="00AC2EE2" w:rsidRDefault="00D77FB8" w:rsidP="00D77FB8">
            <w:pPr>
              <w:jc w:val="center"/>
              <w:rPr>
                <w:rFonts w:ascii="Calibri" w:eastAsia="Times New Roman" w:hAnsi="Calibri" w:cs="Arial"/>
                <w:sz w:val="20"/>
                <w:szCs w:val="20"/>
              </w:rPr>
            </w:pPr>
            <w:r w:rsidRPr="00AC2EE2">
              <w:rPr>
                <w:rFonts w:ascii="Calibri" w:eastAsia="Times New Roman" w:hAnsi="Calibri" w:cs="Arial"/>
                <w:sz w:val="20"/>
                <w:szCs w:val="20"/>
              </w:rPr>
              <w:t>89</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2A308107" w14:textId="3E177FCD" w:rsidR="00D77FB8" w:rsidRPr="00AC2EE2" w:rsidRDefault="00D77FB8" w:rsidP="00D77FB8">
            <w:pPr>
              <w:jc w:val="center"/>
              <w:rPr>
                <w:rFonts w:ascii="Calibri" w:eastAsia="Times New Roman" w:hAnsi="Calibri" w:cs="Arial"/>
                <w:b/>
                <w:sz w:val="20"/>
                <w:szCs w:val="20"/>
              </w:rPr>
            </w:pPr>
            <w:r w:rsidRPr="00AC2EE2">
              <w:rPr>
                <w:rFonts w:ascii="Calibri" w:eastAsia="Times New Roman" w:hAnsi="Calibri" w:cs="Arial"/>
                <w:sz w:val="20"/>
                <w:szCs w:val="20"/>
              </w:rPr>
              <w:t>65</w:t>
            </w:r>
          </w:p>
        </w:tc>
      </w:tr>
      <w:tr w:rsidR="00D77FB8" w:rsidRPr="00AC2EE2" w14:paraId="631C9D6E" w14:textId="77777777" w:rsidTr="004547F7">
        <w:trPr>
          <w:trHeight w:val="302"/>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298FA41" w14:textId="0F8010DD" w:rsidR="00D77FB8" w:rsidRPr="00AC2EE2" w:rsidRDefault="00D77FB8" w:rsidP="00D77FB8">
            <w:pPr>
              <w:jc w:val="center"/>
              <w:rPr>
                <w:rFonts w:ascii="Calibri" w:eastAsia="Times New Roman" w:hAnsi="Calibri" w:cs="Arial"/>
                <w:sz w:val="20"/>
                <w:szCs w:val="20"/>
              </w:rPr>
            </w:pPr>
            <w:r w:rsidRPr="00AC2EE2">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tcPr>
          <w:p w14:paraId="11C54EB5" w14:textId="5B5AE949" w:rsidR="00D77FB8" w:rsidRPr="00AC2EE2" w:rsidRDefault="00D77FB8" w:rsidP="00D77FB8">
            <w:pPr>
              <w:jc w:val="center"/>
              <w:rPr>
                <w:rFonts w:ascii="Calibri" w:eastAsia="Times New Roman" w:hAnsi="Calibri" w:cs="Arial"/>
                <w:sz w:val="20"/>
                <w:szCs w:val="20"/>
              </w:rPr>
            </w:pPr>
            <w:r w:rsidRPr="00AC2EE2">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96926FB" w14:textId="42877FC8" w:rsidR="00D77FB8" w:rsidRPr="00AC2EE2" w:rsidRDefault="00393DE3" w:rsidP="00D77FB8">
            <w:pPr>
              <w:jc w:val="center"/>
              <w:rPr>
                <w:rFonts w:ascii="Calibri" w:eastAsia="Times New Roman" w:hAnsi="Calibri" w:cs="Arial"/>
                <w:b/>
                <w:sz w:val="20"/>
                <w:szCs w:val="20"/>
              </w:rPr>
            </w:pPr>
            <w:r w:rsidRPr="00AC2EE2">
              <w:rPr>
                <w:rFonts w:ascii="Calibri" w:eastAsia="Times New Roman" w:hAnsi="Calibri" w:cs="Arial"/>
                <w:b/>
                <w:sz w:val="20"/>
                <w:szCs w:val="20"/>
              </w:rPr>
              <w:t>70</w:t>
            </w:r>
            <w:r w:rsidR="00D77FB8" w:rsidRPr="00AC2EE2">
              <w:rPr>
                <w:rFonts w:ascii="Calibri" w:eastAsia="Times New Roman" w:hAnsi="Calibri" w:cs="Arial"/>
                <w:b/>
                <w:sz w:val="20"/>
                <w:szCs w:val="20"/>
              </w:rPr>
              <w:t>%</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320951FD" w14:textId="4C8FEC9F" w:rsidR="00D77FB8" w:rsidRPr="00AC2EE2" w:rsidRDefault="00393DE3" w:rsidP="00D77FB8">
            <w:pPr>
              <w:jc w:val="center"/>
              <w:rPr>
                <w:rFonts w:ascii="Calibri" w:eastAsia="Times New Roman" w:hAnsi="Calibri" w:cs="Arial"/>
                <w:sz w:val="20"/>
                <w:szCs w:val="20"/>
              </w:rPr>
            </w:pPr>
            <w:r w:rsidRPr="00AC2EE2">
              <w:rPr>
                <w:rFonts w:ascii="Calibri" w:eastAsia="Times New Roman" w:hAnsi="Calibri" w:cs="Arial"/>
                <w:sz w:val="20"/>
                <w:szCs w:val="20"/>
              </w:rPr>
              <w:t>59</w:t>
            </w:r>
            <w:r w:rsidR="00D77FB8" w:rsidRPr="00AC2EE2">
              <w:rPr>
                <w:rFonts w:ascii="Calibri" w:eastAsia="Times New Roman" w:hAnsi="Calibri" w:cs="Arial"/>
                <w:sz w:val="20"/>
                <w:szCs w:val="20"/>
              </w:rPr>
              <w:t>%</w:t>
            </w:r>
          </w:p>
        </w:tc>
        <w:tc>
          <w:tcPr>
            <w:tcW w:w="660"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A9B127B" w14:textId="25DC69ED" w:rsidR="00D77FB8" w:rsidRPr="00AC2EE2" w:rsidRDefault="00393DE3" w:rsidP="00D77FB8">
            <w:pPr>
              <w:jc w:val="center"/>
              <w:rPr>
                <w:rFonts w:ascii="Calibri" w:eastAsia="Times New Roman" w:hAnsi="Calibri" w:cs="Arial"/>
                <w:b/>
                <w:sz w:val="20"/>
                <w:szCs w:val="20"/>
              </w:rPr>
            </w:pPr>
            <w:r w:rsidRPr="00AC2EE2">
              <w:rPr>
                <w:rFonts w:ascii="Calibri" w:eastAsia="Times New Roman" w:hAnsi="Calibri" w:cs="Arial"/>
                <w:b/>
                <w:sz w:val="20"/>
                <w:szCs w:val="20"/>
              </w:rPr>
              <w:t>51</w:t>
            </w:r>
            <w:r w:rsidR="00D77FB8" w:rsidRPr="00AC2EE2">
              <w:rPr>
                <w:rFonts w:ascii="Calibri" w:eastAsia="Times New Roman" w:hAnsi="Calibri" w:cs="Arial"/>
                <w:b/>
                <w:sz w:val="20"/>
                <w:szCs w:val="20"/>
              </w:rPr>
              <w:t>%</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1A20BBAC" w14:textId="67D24B58" w:rsidR="00D77FB8" w:rsidRPr="00AC2EE2" w:rsidRDefault="00393DE3" w:rsidP="00D77FB8">
            <w:pPr>
              <w:jc w:val="center"/>
              <w:rPr>
                <w:rFonts w:ascii="Calibri" w:eastAsia="Times New Roman" w:hAnsi="Calibri" w:cs="Arial"/>
                <w:sz w:val="20"/>
                <w:szCs w:val="20"/>
              </w:rPr>
            </w:pPr>
            <w:r w:rsidRPr="00AC2EE2">
              <w:rPr>
                <w:rFonts w:ascii="Calibri" w:eastAsia="Times New Roman" w:hAnsi="Calibri" w:cs="Arial"/>
                <w:sz w:val="20"/>
                <w:szCs w:val="20"/>
              </w:rPr>
              <w:t>35</w:t>
            </w:r>
            <w:r w:rsidR="00D77FB8" w:rsidRPr="00AC2EE2">
              <w:rPr>
                <w:rFonts w:ascii="Calibri" w:eastAsia="Times New Roman" w:hAnsi="Calibri" w:cs="Arial"/>
                <w:sz w:val="20"/>
                <w:szCs w:val="20"/>
              </w:rPr>
              <w:t>%</w:t>
            </w:r>
          </w:p>
        </w:tc>
        <w:tc>
          <w:tcPr>
            <w:tcW w:w="655" w:type="pct"/>
            <w:tcBorders>
              <w:top w:val="single" w:sz="4" w:space="0" w:color="BFBFBF" w:themeColor="background1" w:themeShade="BF"/>
              <w:bottom w:val="single" w:sz="4" w:space="0" w:color="BFBFBF" w:themeColor="background1" w:themeShade="BF"/>
            </w:tcBorders>
            <w:shd w:val="clear" w:color="auto" w:fill="auto"/>
            <w:noWrap/>
            <w:vAlign w:val="center"/>
          </w:tcPr>
          <w:p w14:paraId="74CC77CB" w14:textId="21700272" w:rsidR="00D77FB8" w:rsidRPr="00AC2EE2" w:rsidRDefault="00393DE3" w:rsidP="00D77FB8">
            <w:pPr>
              <w:jc w:val="center"/>
              <w:rPr>
                <w:rFonts w:ascii="Calibri" w:eastAsia="Times New Roman" w:hAnsi="Calibri" w:cs="Arial"/>
                <w:b/>
                <w:sz w:val="20"/>
                <w:szCs w:val="20"/>
              </w:rPr>
            </w:pPr>
            <w:r w:rsidRPr="00AC2EE2">
              <w:rPr>
                <w:rFonts w:ascii="Calibri" w:eastAsia="Times New Roman" w:hAnsi="Calibri" w:cs="Arial"/>
                <w:b/>
                <w:sz w:val="20"/>
                <w:szCs w:val="20"/>
              </w:rPr>
              <w:t>26</w:t>
            </w:r>
            <w:r w:rsidR="00D77FB8" w:rsidRPr="00AC2EE2">
              <w:rPr>
                <w:rFonts w:ascii="Calibri" w:eastAsia="Times New Roman" w:hAnsi="Calibri" w:cs="Arial"/>
                <w:b/>
                <w:sz w:val="20"/>
                <w:szCs w:val="20"/>
              </w:rPr>
              <w:t>%</w:t>
            </w:r>
          </w:p>
        </w:tc>
      </w:tr>
    </w:tbl>
    <w:p w14:paraId="53708DCC" w14:textId="77777777" w:rsidR="004547F7" w:rsidRPr="00B702D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p>
    <w:p w14:paraId="1FFCBF66" w14:textId="77777777" w:rsidR="004547F7" w:rsidRPr="00B702D3" w:rsidRDefault="004547F7" w:rsidP="004547F7">
      <w:pPr>
        <w:jc w:val="center"/>
        <w:rPr>
          <w:rFonts w:ascii="Franklin Gothic Book" w:hAnsi="Franklin Gothic Book"/>
        </w:rPr>
      </w:pPr>
      <w:r w:rsidRPr="00B702D3">
        <w:rPr>
          <w:rFonts w:ascii="Calibri" w:hAnsi="Calibri"/>
          <w:noProof/>
          <w:sz w:val="16"/>
          <w:szCs w:val="16"/>
        </w:rPr>
        <w:drawing>
          <wp:inline distT="0" distB="0" distL="0" distR="0" wp14:anchorId="14AF67E3" wp14:editId="2E8DCE1D">
            <wp:extent cx="6871063" cy="3370217"/>
            <wp:effectExtent l="0" t="0" r="6350" b="190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47824C" w14:textId="77777777" w:rsidR="004547F7" w:rsidRPr="00B702D3" w:rsidRDefault="004547F7" w:rsidP="004547F7">
      <w:pPr>
        <w:autoSpaceDE w:val="0"/>
        <w:autoSpaceDN w:val="0"/>
        <w:adjustRightInd w:val="0"/>
        <w:rPr>
          <w:bCs/>
          <w:sz w:val="16"/>
          <w:szCs w:val="16"/>
        </w:rPr>
      </w:pPr>
    </w:p>
    <w:p w14:paraId="585E7A12" w14:textId="77777777" w:rsidR="004547F7" w:rsidRPr="00B702D3" w:rsidRDefault="004547F7" w:rsidP="004547F7">
      <w:pPr>
        <w:autoSpaceDE w:val="0"/>
        <w:autoSpaceDN w:val="0"/>
        <w:adjustRightInd w:val="0"/>
        <w:rPr>
          <w:bCs/>
          <w:sz w:val="16"/>
          <w:szCs w:val="16"/>
        </w:rPr>
      </w:pPr>
    </w:p>
    <w:p w14:paraId="3B7DE3EC" w14:textId="77777777" w:rsidR="004547F7" w:rsidRPr="00B702D3" w:rsidRDefault="004547F7" w:rsidP="004547F7">
      <w:pPr>
        <w:autoSpaceDE w:val="0"/>
        <w:autoSpaceDN w:val="0"/>
        <w:adjustRightInd w:val="0"/>
        <w:rPr>
          <w:bCs/>
          <w:sz w:val="16"/>
          <w:szCs w:val="16"/>
        </w:rPr>
      </w:pPr>
      <w:r w:rsidRPr="00B702D3">
        <w:rPr>
          <w:bCs/>
          <w:sz w:val="16"/>
          <w:szCs w:val="16"/>
        </w:rPr>
        <w:t>Source: CCCCO Data Mart 2.0 Basic Skills Tracker</w:t>
      </w:r>
    </w:p>
    <w:p w14:paraId="0F9D5ECF" w14:textId="77777777" w:rsidR="006C636F" w:rsidRPr="00B702D3" w:rsidRDefault="006C636F"/>
    <w:p w14:paraId="554B2414" w14:textId="77777777" w:rsidR="004547F7" w:rsidRPr="00B702D3" w:rsidRDefault="004547F7" w:rsidP="004547F7">
      <w:pPr>
        <w:pStyle w:val="Heading2"/>
        <w:rPr>
          <w:color w:val="auto"/>
        </w:rPr>
      </w:pPr>
    </w:p>
    <w:p w14:paraId="18E6879C" w14:textId="77777777" w:rsidR="004547F7" w:rsidRPr="00B702D3" w:rsidRDefault="004547F7" w:rsidP="004547F7">
      <w:pPr>
        <w:rPr>
          <w:rFonts w:asciiTheme="majorHAnsi" w:eastAsiaTheme="majorEastAsia" w:hAnsiTheme="majorHAnsi" w:cstheme="majorBidi"/>
          <w:sz w:val="26"/>
          <w:szCs w:val="26"/>
        </w:rPr>
      </w:pPr>
      <w:r w:rsidRPr="00B702D3">
        <w:br w:type="page"/>
      </w:r>
    </w:p>
    <w:p w14:paraId="6B8B3425" w14:textId="3EB3F5B9" w:rsidR="004547F7" w:rsidRPr="00B702D3" w:rsidRDefault="004547F7" w:rsidP="004547F7">
      <w:pPr>
        <w:pStyle w:val="Heading2"/>
        <w:rPr>
          <w:color w:val="auto"/>
        </w:rPr>
      </w:pPr>
      <w:bookmarkStart w:id="43" w:name="_Toc506217402"/>
      <w:r w:rsidRPr="00B702D3">
        <w:rPr>
          <w:color w:val="auto"/>
        </w:rPr>
        <w:lastRenderedPageBreak/>
        <w:t>Math Progression</w:t>
      </w:r>
      <w:bookmarkEnd w:id="43"/>
    </w:p>
    <w:p w14:paraId="565C66F3" w14:textId="77777777" w:rsidR="004547F7" w:rsidRPr="00B702D3" w:rsidRDefault="004547F7" w:rsidP="004547F7">
      <w:r w:rsidRPr="00B702D3">
        <w:t>Coastline</w:t>
      </w:r>
    </w:p>
    <w:p w14:paraId="31E66DB1" w14:textId="15A540EF" w:rsidR="004547F7" w:rsidRPr="00B702D3" w:rsidRDefault="004547F7" w:rsidP="004547F7">
      <w:r w:rsidRPr="00B702D3">
        <w:t xml:space="preserve">Over the past </w:t>
      </w:r>
      <w:r w:rsidR="00750225">
        <w:t>five</w:t>
      </w:r>
      <w:r w:rsidRPr="00B702D3">
        <w:t xml:space="preserve"> cohorts tracked, Coastline math students beginning at two levels below transfer level have success rates ranging </w:t>
      </w:r>
      <w:r w:rsidRPr="00686B07">
        <w:t>between 5</w:t>
      </w:r>
      <w:r w:rsidR="009D4634" w:rsidRPr="00686B07">
        <w:t>8</w:t>
      </w:r>
      <w:r w:rsidRPr="00686B07">
        <w:t>%</w:t>
      </w:r>
      <w:r w:rsidR="00D16B58" w:rsidRPr="00686B07">
        <w:t xml:space="preserve"> and </w:t>
      </w:r>
      <w:r w:rsidR="009D4634" w:rsidRPr="00686B07">
        <w:t>63</w:t>
      </w:r>
      <w:r w:rsidR="00D16B58" w:rsidRPr="00686B07">
        <w:t xml:space="preserve">%. </w:t>
      </w:r>
      <w:r w:rsidRPr="00686B07">
        <w:t xml:space="preserve">Within two years, 32% to </w:t>
      </w:r>
      <w:r w:rsidR="009D4634" w:rsidRPr="00686B07">
        <w:t>39</w:t>
      </w:r>
      <w:r w:rsidRPr="00686B07">
        <w:t xml:space="preserve">% of these students were successful at the next course level and </w:t>
      </w:r>
      <w:r w:rsidR="009D4634" w:rsidRPr="00686B07">
        <w:t>8</w:t>
      </w:r>
      <w:r w:rsidRPr="00686B07">
        <w:t xml:space="preserve">% to 11% ultimately successful </w:t>
      </w:r>
      <w:r w:rsidRPr="00B702D3">
        <w:t>at the transfer level.</w:t>
      </w:r>
      <w:r w:rsidRPr="00B702D3">
        <w:rPr>
          <w:rFonts w:eastAsia="Calibri" w:cs="Arial"/>
          <w:noProof/>
        </w:rPr>
        <w:t xml:space="preserve"> </w:t>
      </w:r>
    </w:p>
    <w:p w14:paraId="700AEAFA" w14:textId="77777777" w:rsidR="004547F7" w:rsidRPr="00B702D3" w:rsidRDefault="004547F7" w:rsidP="004547F7"/>
    <w:p w14:paraId="6DE56431" w14:textId="77777777" w:rsidR="004547F7" w:rsidRPr="00B702D3" w:rsidRDefault="004547F7" w:rsidP="004547F7">
      <w:pPr>
        <w:autoSpaceDE w:val="0"/>
        <w:autoSpaceDN w:val="0"/>
        <w:adjustRightInd w:val="0"/>
        <w:jc w:val="center"/>
        <w:rPr>
          <w:rFonts w:ascii="Arial" w:eastAsia="Franklin Gothic Book" w:hAnsi="Arial" w:cs="Arial"/>
          <w:b/>
          <w:bCs/>
          <w:sz w:val="20"/>
          <w:szCs w:val="20"/>
        </w:rPr>
      </w:pPr>
      <w:r w:rsidRPr="00B702D3">
        <w:rPr>
          <w:rFonts w:ascii="Arial" w:eastAsia="Franklin Gothic Book" w:hAnsi="Arial" w:cs="Arial"/>
          <w:b/>
          <w:bCs/>
          <w:sz w:val="20"/>
          <w:szCs w:val="20"/>
        </w:rPr>
        <w:t>Coastline Math Basic Skills Students Progression to College Level within Two Years</w:t>
      </w:r>
    </w:p>
    <w:tbl>
      <w:tblPr>
        <w:tblW w:w="9525" w:type="dxa"/>
        <w:jc w:val="center"/>
        <w:tblLook w:val="04A0" w:firstRow="1" w:lastRow="0" w:firstColumn="1" w:lastColumn="0" w:noHBand="0" w:noVBand="1"/>
      </w:tblPr>
      <w:tblGrid>
        <w:gridCol w:w="2082"/>
        <w:gridCol w:w="1242"/>
        <w:gridCol w:w="1246"/>
        <w:gridCol w:w="1252"/>
        <w:gridCol w:w="1244"/>
        <w:gridCol w:w="1221"/>
        <w:gridCol w:w="1238"/>
      </w:tblGrid>
      <w:tr w:rsidR="004547F7" w:rsidRPr="00B702D3" w14:paraId="52A1E724" w14:textId="77777777" w:rsidTr="004547F7">
        <w:trPr>
          <w:trHeight w:val="333"/>
          <w:jc w:val="center"/>
        </w:trPr>
        <w:tc>
          <w:tcPr>
            <w:tcW w:w="1093"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144190E2" w14:textId="77777777" w:rsidR="004547F7" w:rsidRPr="00B702D3" w:rsidRDefault="004547F7" w:rsidP="004547F7">
            <w:pPr>
              <w:jc w:val="center"/>
              <w:rPr>
                <w:rFonts w:ascii="Calibri" w:eastAsia="Times New Roman" w:hAnsi="Calibri" w:cs="Arial"/>
                <w:b/>
                <w:bCs/>
                <w:sz w:val="20"/>
                <w:szCs w:val="20"/>
                <w:u w:val="thick"/>
              </w:rPr>
            </w:pPr>
            <w:r w:rsidRPr="00B702D3">
              <w:rPr>
                <w:rFonts w:ascii="Calibri" w:eastAsia="Times New Roman" w:hAnsi="Calibri" w:cs="Arial"/>
                <w:b/>
                <w:bCs/>
                <w:sz w:val="20"/>
                <w:szCs w:val="20"/>
                <w:u w:val="thick"/>
              </w:rPr>
              <w:t>Coastline</w:t>
            </w:r>
          </w:p>
        </w:tc>
        <w:tc>
          <w:tcPr>
            <w:tcW w:w="1306"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25FE2ED"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Two Levels Below Transfer</w:t>
            </w:r>
          </w:p>
        </w:tc>
        <w:tc>
          <w:tcPr>
            <w:tcW w:w="1310"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3917A1D"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One Level Below Transfer</w:t>
            </w:r>
          </w:p>
        </w:tc>
        <w:tc>
          <w:tcPr>
            <w:tcW w:w="1291" w:type="pct"/>
            <w:gridSpan w:val="2"/>
            <w:tcBorders>
              <w:left w:val="single" w:sz="4" w:space="0" w:color="BFBFBF" w:themeColor="background1" w:themeShade="BF"/>
              <w:bottom w:val="single" w:sz="4" w:space="0" w:color="BFBFBF" w:themeColor="background1" w:themeShade="BF"/>
            </w:tcBorders>
            <w:shd w:val="clear" w:color="auto" w:fill="auto"/>
            <w:vAlign w:val="bottom"/>
          </w:tcPr>
          <w:p w14:paraId="1F06601C"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Transferable</w:t>
            </w:r>
          </w:p>
        </w:tc>
      </w:tr>
      <w:tr w:rsidR="004547F7" w:rsidRPr="00B702D3" w14:paraId="3F776174"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82D292B"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Math</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7912F5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7D1D27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784832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1A8AAD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EAFBA8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06928EA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r>
      <w:tr w:rsidR="004547F7" w:rsidRPr="00B702D3" w14:paraId="54ADDA21"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E4B584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11    to    Spring 13</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B8558E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136</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5B084F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85</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FE9B28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52</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373954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45</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431A3C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7F64AF8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w:t>
            </w:r>
          </w:p>
        </w:tc>
      </w:tr>
      <w:tr w:rsidR="004547F7" w:rsidRPr="00B702D3" w14:paraId="465025CA"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C95FDF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13D3F6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5B7301B"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63%</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FBD712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38%</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1AA83A9"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33%</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589E7D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068F6631"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9%</w:t>
            </w:r>
          </w:p>
        </w:tc>
      </w:tr>
      <w:tr w:rsidR="004547F7" w:rsidRPr="00B702D3" w14:paraId="03077A51"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BC694D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12    to    Spring 14</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C49E45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164</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9CA83D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109</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931014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84</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80B251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65</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E9B89F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19</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5008F76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w:t>
            </w:r>
          </w:p>
        </w:tc>
      </w:tr>
      <w:tr w:rsidR="004547F7" w:rsidRPr="00B702D3" w14:paraId="3130CC68"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0EC37B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1231DF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B42329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66%</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59C008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51%</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CCE33C8"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40%</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DA5649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6D109BA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9%</w:t>
            </w:r>
          </w:p>
        </w:tc>
      </w:tr>
      <w:tr w:rsidR="004547F7" w:rsidRPr="00B702D3" w14:paraId="5A8FAED5"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81E912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13    to    Spring 15</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07B3DAD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180</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9E02BA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113</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7F65CB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82</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14F85D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70</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2CD524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29</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49DA663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w:t>
            </w:r>
          </w:p>
        </w:tc>
      </w:tr>
      <w:tr w:rsidR="004547F7" w:rsidRPr="00B702D3" w14:paraId="765F2669"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533085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1D36E6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73E86B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63%</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4C2B72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46%</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CFA28FD"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39%</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403647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16%</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31326BD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11%</w:t>
            </w:r>
          </w:p>
        </w:tc>
      </w:tr>
      <w:tr w:rsidR="004547F7" w:rsidRPr="00B702D3" w14:paraId="2405E53F"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B51832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14    to    Spring 16</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121567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186</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7000C1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104</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7DDCDC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81</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32B9D2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65</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B3825C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25</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240D0F0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w:t>
            </w:r>
          </w:p>
        </w:tc>
      </w:tr>
      <w:tr w:rsidR="004547F7" w:rsidRPr="00B702D3" w14:paraId="6380C8B8"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1385EB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3A96F24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BD9F03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56%</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2E1B7C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44%</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85393C0"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35%</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957F36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2E21D8A4"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11%</w:t>
            </w:r>
          </w:p>
        </w:tc>
      </w:tr>
      <w:tr w:rsidR="003031C3" w:rsidRPr="00686B07" w14:paraId="0B292F8E"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E317911" w14:textId="7C26D291"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Fall 15    to    Spring 17</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3AFE3DDE" w14:textId="36AAE0CF"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182</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6984C6F" w14:textId="619D5CA2" w:rsidR="003031C3" w:rsidRPr="00686B07" w:rsidRDefault="003031C3" w:rsidP="003031C3">
            <w:pPr>
              <w:jc w:val="center"/>
              <w:rPr>
                <w:rFonts w:ascii="Calibri" w:eastAsia="Times New Roman" w:hAnsi="Calibri" w:cs="Arial"/>
                <w:b/>
                <w:sz w:val="20"/>
                <w:szCs w:val="20"/>
              </w:rPr>
            </w:pPr>
            <w:r w:rsidRPr="00686B07">
              <w:rPr>
                <w:rFonts w:ascii="Calibri" w:eastAsia="Times New Roman" w:hAnsi="Calibri" w:cs="Arial"/>
                <w:sz w:val="20"/>
                <w:szCs w:val="20"/>
              </w:rPr>
              <w:t>105</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BB90F8C" w14:textId="659D1720"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77</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59643CD" w14:textId="79F9BBB7" w:rsidR="003031C3" w:rsidRPr="00686B07" w:rsidRDefault="003031C3" w:rsidP="003031C3">
            <w:pPr>
              <w:jc w:val="center"/>
              <w:rPr>
                <w:rFonts w:ascii="Calibri" w:eastAsia="Times New Roman" w:hAnsi="Calibri" w:cs="Arial"/>
                <w:b/>
                <w:sz w:val="20"/>
                <w:szCs w:val="20"/>
              </w:rPr>
            </w:pPr>
            <w:r w:rsidRPr="00686B07">
              <w:rPr>
                <w:rFonts w:ascii="Calibri" w:eastAsia="Times New Roman" w:hAnsi="Calibri" w:cs="Arial"/>
                <w:sz w:val="20"/>
                <w:szCs w:val="20"/>
              </w:rPr>
              <w:t>59</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0B3F66C" w14:textId="47A61D00"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23</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23017D1B" w14:textId="46079FE0" w:rsidR="003031C3" w:rsidRPr="00686B07" w:rsidRDefault="003031C3" w:rsidP="003031C3">
            <w:pPr>
              <w:jc w:val="center"/>
              <w:rPr>
                <w:rFonts w:ascii="Calibri" w:eastAsia="Times New Roman" w:hAnsi="Calibri" w:cs="Arial"/>
                <w:b/>
                <w:sz w:val="20"/>
                <w:szCs w:val="20"/>
              </w:rPr>
            </w:pPr>
            <w:r w:rsidRPr="00686B07">
              <w:rPr>
                <w:rFonts w:ascii="Calibri" w:eastAsia="Times New Roman" w:hAnsi="Calibri" w:cs="Arial"/>
                <w:sz w:val="20"/>
                <w:szCs w:val="20"/>
              </w:rPr>
              <w:t>15</w:t>
            </w:r>
          </w:p>
        </w:tc>
      </w:tr>
      <w:tr w:rsidR="003031C3" w:rsidRPr="00686B07" w14:paraId="6C7F523A" w14:textId="77777777" w:rsidTr="004547F7">
        <w:trPr>
          <w:trHeight w:val="333"/>
          <w:jc w:val="center"/>
        </w:trPr>
        <w:tc>
          <w:tcPr>
            <w:tcW w:w="109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60916B" w14:textId="7DA7F493"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0AB79FD3" w14:textId="7416C63A"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100%</w:t>
            </w:r>
          </w:p>
        </w:tc>
        <w:tc>
          <w:tcPr>
            <w:tcW w:w="65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17B0EFC" w14:textId="5E5B3B84" w:rsidR="003031C3" w:rsidRPr="00686B07" w:rsidRDefault="003031C3" w:rsidP="003031C3">
            <w:pPr>
              <w:jc w:val="center"/>
              <w:rPr>
                <w:rFonts w:ascii="Calibri" w:eastAsia="Times New Roman" w:hAnsi="Calibri" w:cs="Arial"/>
                <w:b/>
                <w:sz w:val="20"/>
                <w:szCs w:val="20"/>
              </w:rPr>
            </w:pPr>
            <w:r w:rsidRPr="00686B07">
              <w:rPr>
                <w:rFonts w:ascii="Calibri" w:eastAsia="Times New Roman" w:hAnsi="Calibri" w:cs="Arial"/>
                <w:b/>
                <w:sz w:val="20"/>
                <w:szCs w:val="20"/>
              </w:rPr>
              <w:t>58%</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8FAAF44" w14:textId="1919D6DB"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42%</w:t>
            </w:r>
          </w:p>
        </w:tc>
        <w:tc>
          <w:tcPr>
            <w:tcW w:w="65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42295C0" w14:textId="30E2C05E" w:rsidR="003031C3" w:rsidRPr="00686B07" w:rsidRDefault="003031C3" w:rsidP="003031C3">
            <w:pPr>
              <w:jc w:val="center"/>
              <w:rPr>
                <w:rFonts w:ascii="Calibri" w:eastAsia="Times New Roman" w:hAnsi="Calibri" w:cs="Arial"/>
                <w:b/>
                <w:sz w:val="20"/>
                <w:szCs w:val="20"/>
              </w:rPr>
            </w:pPr>
            <w:r w:rsidRPr="00686B07">
              <w:rPr>
                <w:rFonts w:ascii="Calibri" w:eastAsia="Times New Roman" w:hAnsi="Calibri" w:cs="Arial"/>
                <w:b/>
                <w:sz w:val="20"/>
                <w:szCs w:val="20"/>
              </w:rPr>
              <w:t>32%</w:t>
            </w:r>
          </w:p>
        </w:tc>
        <w:tc>
          <w:tcPr>
            <w:tcW w:w="64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DD7BC9F" w14:textId="3001A8DD" w:rsidR="003031C3" w:rsidRPr="00686B07" w:rsidRDefault="003031C3" w:rsidP="003031C3">
            <w:pPr>
              <w:jc w:val="center"/>
              <w:rPr>
                <w:rFonts w:ascii="Calibri" w:eastAsia="Times New Roman" w:hAnsi="Calibri" w:cs="Arial"/>
                <w:sz w:val="20"/>
                <w:szCs w:val="20"/>
              </w:rPr>
            </w:pPr>
            <w:r w:rsidRPr="00686B07">
              <w:rPr>
                <w:rFonts w:ascii="Calibri" w:eastAsia="Times New Roman" w:hAnsi="Calibri" w:cs="Arial"/>
                <w:sz w:val="20"/>
                <w:szCs w:val="20"/>
              </w:rPr>
              <w:t>13%</w:t>
            </w:r>
          </w:p>
        </w:tc>
        <w:tc>
          <w:tcPr>
            <w:tcW w:w="650" w:type="pct"/>
            <w:tcBorders>
              <w:top w:val="single" w:sz="4" w:space="0" w:color="BFBFBF" w:themeColor="background1" w:themeShade="BF"/>
              <w:bottom w:val="single" w:sz="4" w:space="0" w:color="BFBFBF" w:themeColor="background1" w:themeShade="BF"/>
            </w:tcBorders>
            <w:shd w:val="clear" w:color="auto" w:fill="auto"/>
            <w:noWrap/>
            <w:vAlign w:val="bottom"/>
          </w:tcPr>
          <w:p w14:paraId="486BD962" w14:textId="707813AC" w:rsidR="003031C3" w:rsidRPr="00686B07" w:rsidRDefault="003031C3" w:rsidP="003031C3">
            <w:pPr>
              <w:jc w:val="center"/>
              <w:rPr>
                <w:rFonts w:ascii="Calibri" w:eastAsia="Times New Roman" w:hAnsi="Calibri" w:cs="Arial"/>
                <w:b/>
                <w:sz w:val="20"/>
                <w:szCs w:val="20"/>
              </w:rPr>
            </w:pPr>
            <w:r w:rsidRPr="00686B07">
              <w:rPr>
                <w:rFonts w:ascii="Calibri" w:eastAsia="Times New Roman" w:hAnsi="Calibri" w:cs="Arial"/>
                <w:b/>
                <w:sz w:val="20"/>
                <w:szCs w:val="20"/>
              </w:rPr>
              <w:t>8%</w:t>
            </w:r>
          </w:p>
        </w:tc>
      </w:tr>
    </w:tbl>
    <w:p w14:paraId="5EA11D13" w14:textId="77777777" w:rsidR="004547F7" w:rsidRPr="00B702D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p>
    <w:p w14:paraId="65E540C2" w14:textId="77777777" w:rsidR="004547F7" w:rsidRPr="00B702D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r w:rsidRPr="00B702D3">
        <w:rPr>
          <w:rFonts w:ascii="Calibri" w:eastAsia="Franklin Gothic Book" w:hAnsi="Calibri" w:cs="Times New Roman"/>
          <w:noProof/>
          <w:sz w:val="20"/>
          <w:szCs w:val="20"/>
        </w:rPr>
        <w:drawing>
          <wp:inline distT="0" distB="0" distL="0" distR="0" wp14:anchorId="4C94AE71" wp14:editId="39D9B41C">
            <wp:extent cx="6796585" cy="3370997"/>
            <wp:effectExtent l="0" t="0" r="4445" b="127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F25108" w14:textId="77777777" w:rsidR="004547F7" w:rsidRPr="00B702D3" w:rsidRDefault="004547F7" w:rsidP="004547F7">
      <w:pPr>
        <w:autoSpaceDE w:val="0"/>
        <w:autoSpaceDN w:val="0"/>
        <w:adjustRightInd w:val="0"/>
        <w:rPr>
          <w:bCs/>
          <w:sz w:val="16"/>
          <w:szCs w:val="16"/>
        </w:rPr>
      </w:pPr>
    </w:p>
    <w:p w14:paraId="391B71BB" w14:textId="77777777" w:rsidR="004547F7" w:rsidRPr="00B702D3" w:rsidRDefault="004547F7" w:rsidP="004547F7">
      <w:pPr>
        <w:autoSpaceDE w:val="0"/>
        <w:autoSpaceDN w:val="0"/>
        <w:adjustRightInd w:val="0"/>
        <w:rPr>
          <w:bCs/>
          <w:sz w:val="16"/>
          <w:szCs w:val="16"/>
        </w:rPr>
      </w:pPr>
    </w:p>
    <w:p w14:paraId="6CE6D3E5" w14:textId="77777777" w:rsidR="004547F7" w:rsidRPr="00B702D3" w:rsidRDefault="004547F7" w:rsidP="004547F7">
      <w:pPr>
        <w:autoSpaceDE w:val="0"/>
        <w:autoSpaceDN w:val="0"/>
        <w:adjustRightInd w:val="0"/>
        <w:rPr>
          <w:bCs/>
          <w:sz w:val="16"/>
          <w:szCs w:val="16"/>
        </w:rPr>
      </w:pPr>
      <w:r w:rsidRPr="00B702D3">
        <w:rPr>
          <w:bCs/>
          <w:sz w:val="16"/>
          <w:szCs w:val="16"/>
        </w:rPr>
        <w:t>Source: CCCCO Data Mart 2.0 Basic Skills Tracker</w:t>
      </w:r>
    </w:p>
    <w:p w14:paraId="6E5BE489" w14:textId="77777777" w:rsidR="004547F7" w:rsidRPr="00B702D3" w:rsidRDefault="004547F7" w:rsidP="004547F7">
      <w:pPr>
        <w:autoSpaceDE w:val="0"/>
        <w:autoSpaceDN w:val="0"/>
        <w:adjustRightInd w:val="0"/>
        <w:rPr>
          <w:bCs/>
          <w:sz w:val="20"/>
        </w:rPr>
      </w:pPr>
    </w:p>
    <w:p w14:paraId="416FC087" w14:textId="77777777" w:rsidR="00FD1E7C" w:rsidRDefault="00FD1E7C" w:rsidP="004547F7">
      <w:pPr>
        <w:keepNext/>
      </w:pPr>
    </w:p>
    <w:p w14:paraId="41D7AB7E" w14:textId="77777777" w:rsidR="004547F7" w:rsidRPr="00B702D3" w:rsidRDefault="004547F7" w:rsidP="004547F7">
      <w:pPr>
        <w:keepNext/>
      </w:pPr>
      <w:r w:rsidRPr="00B702D3">
        <w:t>Golden West</w:t>
      </w:r>
    </w:p>
    <w:p w14:paraId="09DAD5AC" w14:textId="73E99E87" w:rsidR="004547F7" w:rsidRPr="00B702D3" w:rsidRDefault="0071375B" w:rsidP="004547F7">
      <w:pPr>
        <w:keepNext/>
      </w:pPr>
      <w:r>
        <w:t>Golden West</w:t>
      </w:r>
      <w:r w:rsidR="00C57D79">
        <w:t>’s math p</w:t>
      </w:r>
      <w:r w:rsidR="004547F7" w:rsidRPr="00B702D3">
        <w:t>rogression rates have remained relatively steady over the last five cohorts. Students beginning at two levels below transfer level have succ</w:t>
      </w:r>
      <w:r w:rsidR="00D16B58">
        <w:t>ess rates ranging from 41</w:t>
      </w:r>
      <w:r w:rsidR="00D16B58" w:rsidRPr="00686B07">
        <w:t>% to 61</w:t>
      </w:r>
      <w:r w:rsidR="004547F7" w:rsidRPr="00686B07">
        <w:t>%</w:t>
      </w:r>
      <w:r w:rsidR="00D16B58" w:rsidRPr="00686B07">
        <w:t>. Between 22% and 27</w:t>
      </w:r>
      <w:r w:rsidR="004547F7" w:rsidRPr="00686B07">
        <w:t>% of these students were successful at the next course level, with 9% to 1</w:t>
      </w:r>
      <w:r w:rsidR="00D16B58" w:rsidRPr="00686B07">
        <w:t>4</w:t>
      </w:r>
      <w:r w:rsidR="004547F7" w:rsidRPr="00686B07">
        <w:t>% progressing to and</w:t>
      </w:r>
      <w:r w:rsidR="00C57D79">
        <w:t xml:space="preserve"> being</w:t>
      </w:r>
      <w:r w:rsidR="004547F7" w:rsidRPr="00686B07">
        <w:t xml:space="preserve"> successful at the transfer </w:t>
      </w:r>
      <w:r w:rsidR="004547F7" w:rsidRPr="00B702D3">
        <w:t>level.</w:t>
      </w:r>
    </w:p>
    <w:p w14:paraId="2B43D33E" w14:textId="77777777" w:rsidR="004547F7" w:rsidRPr="00B702D3" w:rsidRDefault="004547F7" w:rsidP="004547F7">
      <w:pPr>
        <w:rPr>
          <w:bCs/>
          <w:sz w:val="20"/>
        </w:rPr>
      </w:pPr>
    </w:p>
    <w:p w14:paraId="640BCE5C" w14:textId="77777777" w:rsidR="004547F7" w:rsidRPr="00B702D3" w:rsidRDefault="004547F7" w:rsidP="004547F7">
      <w:pPr>
        <w:autoSpaceDE w:val="0"/>
        <w:autoSpaceDN w:val="0"/>
        <w:adjustRightInd w:val="0"/>
        <w:jc w:val="center"/>
        <w:rPr>
          <w:rFonts w:ascii="Arial" w:eastAsia="Franklin Gothic Book" w:hAnsi="Arial" w:cs="Arial"/>
          <w:b/>
          <w:bCs/>
          <w:sz w:val="20"/>
          <w:szCs w:val="20"/>
        </w:rPr>
      </w:pPr>
      <w:r w:rsidRPr="00B702D3">
        <w:rPr>
          <w:rFonts w:ascii="Arial" w:eastAsia="Franklin Gothic Book" w:hAnsi="Arial" w:cs="Arial"/>
          <w:b/>
          <w:bCs/>
          <w:sz w:val="20"/>
          <w:szCs w:val="20"/>
        </w:rPr>
        <w:t>Golden West Math Basic Skills Students Progression to College Level within Two Years</w:t>
      </w:r>
    </w:p>
    <w:tbl>
      <w:tblPr>
        <w:tblW w:w="9701" w:type="dxa"/>
        <w:jc w:val="center"/>
        <w:tblLook w:val="04A0" w:firstRow="1" w:lastRow="0" w:firstColumn="1" w:lastColumn="0" w:noHBand="0" w:noVBand="1"/>
      </w:tblPr>
      <w:tblGrid>
        <w:gridCol w:w="2083"/>
        <w:gridCol w:w="1265"/>
        <w:gridCol w:w="1279"/>
        <w:gridCol w:w="1281"/>
        <w:gridCol w:w="1275"/>
        <w:gridCol w:w="1255"/>
        <w:gridCol w:w="1263"/>
      </w:tblGrid>
      <w:tr w:rsidR="004547F7" w:rsidRPr="00B702D3" w14:paraId="4BCFFA6F" w14:textId="77777777" w:rsidTr="004547F7">
        <w:trPr>
          <w:trHeight w:val="317"/>
          <w:jc w:val="center"/>
        </w:trPr>
        <w:tc>
          <w:tcPr>
            <w:tcW w:w="1074"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33F87B49" w14:textId="77777777" w:rsidR="004547F7" w:rsidRPr="00B702D3" w:rsidRDefault="004547F7" w:rsidP="004547F7">
            <w:pPr>
              <w:jc w:val="center"/>
              <w:rPr>
                <w:rFonts w:ascii="Calibri" w:eastAsia="Times New Roman" w:hAnsi="Calibri" w:cs="Arial"/>
                <w:b/>
                <w:bCs/>
                <w:sz w:val="20"/>
                <w:szCs w:val="20"/>
                <w:u w:val="thick"/>
              </w:rPr>
            </w:pPr>
            <w:r w:rsidRPr="00B702D3">
              <w:rPr>
                <w:rFonts w:ascii="Calibri" w:eastAsia="Times New Roman" w:hAnsi="Calibri" w:cs="Arial"/>
                <w:b/>
                <w:bCs/>
                <w:sz w:val="20"/>
                <w:szCs w:val="20"/>
                <w:u w:val="thick"/>
              </w:rPr>
              <w:t>Golden West</w:t>
            </w:r>
          </w:p>
        </w:tc>
        <w:tc>
          <w:tcPr>
            <w:tcW w:w="1311"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E9E6D85"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Two Levels Below Transfer</w:t>
            </w:r>
          </w:p>
        </w:tc>
        <w:tc>
          <w:tcPr>
            <w:tcW w:w="1317"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EDC6486"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One Level Below Transfer</w:t>
            </w:r>
          </w:p>
        </w:tc>
        <w:tc>
          <w:tcPr>
            <w:tcW w:w="1298" w:type="pct"/>
            <w:gridSpan w:val="2"/>
            <w:tcBorders>
              <w:left w:val="single" w:sz="4" w:space="0" w:color="BFBFBF" w:themeColor="background1" w:themeShade="BF"/>
              <w:bottom w:val="single" w:sz="4" w:space="0" w:color="BFBFBF" w:themeColor="background1" w:themeShade="BF"/>
            </w:tcBorders>
            <w:shd w:val="clear" w:color="auto" w:fill="auto"/>
            <w:vAlign w:val="bottom"/>
          </w:tcPr>
          <w:p w14:paraId="68096762"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Transferable</w:t>
            </w:r>
          </w:p>
        </w:tc>
      </w:tr>
      <w:tr w:rsidR="004547F7" w:rsidRPr="00B702D3" w14:paraId="5963A751"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4C75A61"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Math</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EE2FDD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5315A0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157A37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A27262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AEEC3A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04D4238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r>
      <w:tr w:rsidR="004547F7" w:rsidRPr="00B702D3" w14:paraId="20C88344"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06F6305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11    to    Spring 13</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DAA5DB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319</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BDB027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139</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BFA4AC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113</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C145D8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80</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4551A0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41</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2FD5311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30</w:t>
            </w:r>
          </w:p>
        </w:tc>
      </w:tr>
      <w:tr w:rsidR="004547F7" w:rsidRPr="00B702D3" w14:paraId="0A4E054F"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760879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D3F8FE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A80E3D7"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44%</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DB1952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35%</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0B40881"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25%</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5B7292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7EB1E93F"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9%</w:t>
            </w:r>
          </w:p>
        </w:tc>
      </w:tr>
      <w:tr w:rsidR="004547F7" w:rsidRPr="00B702D3" w14:paraId="4D5C30E9"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E2E5F1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12    to    Spring 14</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0402184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367</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F6ADEA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179</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1ED35C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138</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4346C6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97</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A2FA13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61</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6048366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40</w:t>
            </w:r>
          </w:p>
        </w:tc>
      </w:tr>
      <w:tr w:rsidR="004547F7" w:rsidRPr="00B702D3" w14:paraId="4F132480"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4CD418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3157743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3124736"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49%</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F42A54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38%</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ACC6E23"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26%</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FAA2C8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17%</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7E7AFB99"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11%</w:t>
            </w:r>
          </w:p>
        </w:tc>
      </w:tr>
      <w:tr w:rsidR="004547F7" w:rsidRPr="00B702D3" w14:paraId="05BA45DC"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2C6C2F8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13    to    Spring 15</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D67E62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394</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5F5EC32" w14:textId="407A5832"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w:t>
            </w:r>
            <w:r w:rsidR="00F97475">
              <w:rPr>
                <w:rFonts w:ascii="Calibri" w:eastAsia="Times New Roman" w:hAnsi="Calibri" w:cs="Arial"/>
                <w:sz w:val="20"/>
                <w:szCs w:val="20"/>
              </w:rPr>
              <w:t>59</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672F53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121</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35D13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97</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2A6FD9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69</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7B5BA44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46</w:t>
            </w:r>
          </w:p>
        </w:tc>
      </w:tr>
      <w:tr w:rsidR="004547F7" w:rsidRPr="00B702D3" w14:paraId="09769E4A"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616CB6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3854CD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BE28117" w14:textId="30965925"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w:t>
            </w:r>
            <w:r w:rsidR="00F97475">
              <w:rPr>
                <w:rFonts w:ascii="Calibri" w:eastAsia="Times New Roman" w:hAnsi="Calibri" w:cs="Arial"/>
                <w:b/>
                <w:sz w:val="20"/>
                <w:szCs w:val="20"/>
              </w:rPr>
              <w:t>0</w:t>
            </w:r>
            <w:r w:rsidRPr="00B702D3">
              <w:rPr>
                <w:rFonts w:ascii="Calibri" w:eastAsia="Times New Roman" w:hAnsi="Calibri" w:cs="Arial"/>
                <w:b/>
                <w:sz w:val="20"/>
                <w:szCs w:val="20"/>
              </w:rPr>
              <w:t>%</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B7F422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31%</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C1969C6"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25%</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5FB8CC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5E554CF8"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12%</w:t>
            </w:r>
          </w:p>
        </w:tc>
      </w:tr>
      <w:tr w:rsidR="004547F7" w:rsidRPr="00B702D3" w14:paraId="6EFE9275"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6A3285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14    to    Spring 16</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C4F78E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415</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FDF2EC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197</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01387B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154</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849C96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113</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1C0330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69</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75739A9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44</w:t>
            </w:r>
          </w:p>
        </w:tc>
      </w:tr>
      <w:tr w:rsidR="004547F7" w:rsidRPr="00B702D3" w14:paraId="09EFD64B"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745793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F48A77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14D9B09"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47%</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941663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37%</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CFBEDF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27%</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7E4818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17%</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644A1AB7"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11%</w:t>
            </w:r>
          </w:p>
        </w:tc>
      </w:tr>
      <w:tr w:rsidR="00861044" w:rsidRPr="00686B07" w14:paraId="020D15A5"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F24DA25" w14:textId="243D98BD"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Fall 15    to    Spring 17</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33D17BEF" w14:textId="64E3A799"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437</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68C4609" w14:textId="33EEA451" w:rsidR="00861044" w:rsidRPr="00686B07" w:rsidRDefault="00861044" w:rsidP="00861044">
            <w:pPr>
              <w:jc w:val="center"/>
              <w:rPr>
                <w:rFonts w:ascii="Calibri" w:eastAsia="Times New Roman" w:hAnsi="Calibri" w:cs="Arial"/>
                <w:b/>
                <w:sz w:val="20"/>
                <w:szCs w:val="20"/>
              </w:rPr>
            </w:pPr>
            <w:r w:rsidRPr="00686B07">
              <w:rPr>
                <w:rFonts w:ascii="Calibri" w:eastAsia="Times New Roman" w:hAnsi="Calibri" w:cs="Arial"/>
                <w:sz w:val="20"/>
                <w:szCs w:val="20"/>
              </w:rPr>
              <w:t>265</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E678250" w14:textId="3E04B338"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186</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3FF15FE" w14:textId="5A230665" w:rsidR="00861044" w:rsidRPr="00686B07" w:rsidRDefault="00861044" w:rsidP="00861044">
            <w:pPr>
              <w:jc w:val="center"/>
              <w:rPr>
                <w:rFonts w:ascii="Calibri" w:eastAsia="Times New Roman" w:hAnsi="Calibri" w:cs="Arial"/>
                <w:b/>
                <w:sz w:val="20"/>
                <w:szCs w:val="20"/>
              </w:rPr>
            </w:pPr>
            <w:r w:rsidRPr="00686B07">
              <w:rPr>
                <w:rFonts w:ascii="Calibri" w:eastAsia="Times New Roman" w:hAnsi="Calibri" w:cs="Arial"/>
                <w:sz w:val="20"/>
                <w:szCs w:val="20"/>
              </w:rPr>
              <w:t>150</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BFBB6CC" w14:textId="25B898EF"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110</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22A07DF6" w14:textId="5CFC6A3E" w:rsidR="00861044" w:rsidRPr="00686B07" w:rsidRDefault="00861044" w:rsidP="00861044">
            <w:pPr>
              <w:jc w:val="center"/>
              <w:rPr>
                <w:rFonts w:ascii="Calibri" w:eastAsia="Times New Roman" w:hAnsi="Calibri" w:cs="Arial"/>
                <w:b/>
                <w:sz w:val="20"/>
                <w:szCs w:val="20"/>
              </w:rPr>
            </w:pPr>
            <w:r w:rsidRPr="00686B07">
              <w:rPr>
                <w:rFonts w:ascii="Calibri" w:eastAsia="Times New Roman" w:hAnsi="Calibri" w:cs="Arial"/>
                <w:sz w:val="20"/>
                <w:szCs w:val="20"/>
              </w:rPr>
              <w:t>59</w:t>
            </w:r>
          </w:p>
        </w:tc>
      </w:tr>
      <w:tr w:rsidR="00861044" w:rsidRPr="00686B07" w14:paraId="78BD9A8F" w14:textId="77777777" w:rsidTr="004547F7">
        <w:trPr>
          <w:trHeight w:val="317"/>
          <w:jc w:val="center"/>
        </w:trPr>
        <w:tc>
          <w:tcPr>
            <w:tcW w:w="10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318E8F5" w14:textId="2DFC4187"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Percent of Cohort</w:t>
            </w:r>
          </w:p>
        </w:tc>
        <w:tc>
          <w:tcPr>
            <w:tcW w:w="65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DADEAE7" w14:textId="5D9CB819"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100%</w:t>
            </w:r>
          </w:p>
        </w:tc>
        <w:tc>
          <w:tcPr>
            <w:tcW w:w="65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41968F9" w14:textId="29160580" w:rsidR="00861044" w:rsidRPr="00686B07" w:rsidRDefault="00861044" w:rsidP="00861044">
            <w:pPr>
              <w:jc w:val="center"/>
              <w:rPr>
                <w:rFonts w:ascii="Calibri" w:eastAsia="Times New Roman" w:hAnsi="Calibri" w:cs="Arial"/>
                <w:b/>
                <w:sz w:val="20"/>
                <w:szCs w:val="20"/>
              </w:rPr>
            </w:pPr>
            <w:r w:rsidRPr="00686B07">
              <w:rPr>
                <w:rFonts w:ascii="Calibri" w:eastAsia="Times New Roman" w:hAnsi="Calibri" w:cs="Arial"/>
                <w:b/>
                <w:sz w:val="20"/>
                <w:szCs w:val="20"/>
              </w:rPr>
              <w:t>61%</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DDCF61E" w14:textId="42E50B15"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43%</w:t>
            </w:r>
          </w:p>
        </w:tc>
        <w:tc>
          <w:tcPr>
            <w:tcW w:w="6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0DAB8B0" w14:textId="529FFCF2" w:rsidR="00861044" w:rsidRPr="00686B07" w:rsidRDefault="00861044" w:rsidP="00861044">
            <w:pPr>
              <w:jc w:val="center"/>
              <w:rPr>
                <w:rFonts w:ascii="Calibri" w:eastAsia="Times New Roman" w:hAnsi="Calibri" w:cs="Arial"/>
                <w:b/>
                <w:sz w:val="20"/>
                <w:szCs w:val="20"/>
              </w:rPr>
            </w:pPr>
            <w:r w:rsidRPr="00686B07">
              <w:rPr>
                <w:rFonts w:ascii="Calibri" w:eastAsia="Times New Roman" w:hAnsi="Calibri" w:cs="Arial"/>
                <w:b/>
                <w:sz w:val="20"/>
                <w:szCs w:val="20"/>
              </w:rPr>
              <w:t>34%</w:t>
            </w:r>
          </w:p>
        </w:tc>
        <w:tc>
          <w:tcPr>
            <w:tcW w:w="64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1EBFEF8" w14:textId="1AF2B789" w:rsidR="00861044" w:rsidRPr="00686B07" w:rsidRDefault="00861044" w:rsidP="00861044">
            <w:pPr>
              <w:jc w:val="center"/>
              <w:rPr>
                <w:rFonts w:ascii="Calibri" w:eastAsia="Times New Roman" w:hAnsi="Calibri" w:cs="Arial"/>
                <w:sz w:val="20"/>
                <w:szCs w:val="20"/>
              </w:rPr>
            </w:pPr>
            <w:r w:rsidRPr="00686B07">
              <w:rPr>
                <w:rFonts w:ascii="Calibri" w:eastAsia="Times New Roman" w:hAnsi="Calibri" w:cs="Arial"/>
                <w:sz w:val="20"/>
                <w:szCs w:val="20"/>
              </w:rPr>
              <w:t>25%</w:t>
            </w:r>
          </w:p>
        </w:tc>
        <w:tc>
          <w:tcPr>
            <w:tcW w:w="651" w:type="pct"/>
            <w:tcBorders>
              <w:top w:val="single" w:sz="4" w:space="0" w:color="BFBFBF" w:themeColor="background1" w:themeShade="BF"/>
              <w:bottom w:val="single" w:sz="4" w:space="0" w:color="BFBFBF" w:themeColor="background1" w:themeShade="BF"/>
            </w:tcBorders>
            <w:shd w:val="clear" w:color="auto" w:fill="auto"/>
            <w:noWrap/>
            <w:vAlign w:val="bottom"/>
          </w:tcPr>
          <w:p w14:paraId="65A1516C" w14:textId="17562402" w:rsidR="00861044" w:rsidRPr="00686B07" w:rsidRDefault="00861044" w:rsidP="00861044">
            <w:pPr>
              <w:jc w:val="center"/>
              <w:rPr>
                <w:rFonts w:ascii="Calibri" w:eastAsia="Times New Roman" w:hAnsi="Calibri" w:cs="Arial"/>
                <w:b/>
                <w:sz w:val="20"/>
                <w:szCs w:val="20"/>
              </w:rPr>
            </w:pPr>
            <w:r w:rsidRPr="00686B07">
              <w:rPr>
                <w:rFonts w:ascii="Calibri" w:eastAsia="Times New Roman" w:hAnsi="Calibri" w:cs="Arial"/>
                <w:b/>
                <w:sz w:val="20"/>
                <w:szCs w:val="20"/>
              </w:rPr>
              <w:t>14%</w:t>
            </w:r>
          </w:p>
        </w:tc>
      </w:tr>
    </w:tbl>
    <w:p w14:paraId="50FCBFBB" w14:textId="77777777" w:rsidR="004547F7" w:rsidRPr="0060140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color w:val="002060"/>
        </w:rPr>
      </w:pPr>
    </w:p>
    <w:p w14:paraId="0B544387" w14:textId="77777777" w:rsidR="004547F7" w:rsidRPr="00B9364B"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color w:val="FF0000"/>
        </w:rPr>
      </w:pPr>
      <w:r w:rsidRPr="003A46B7">
        <w:rPr>
          <w:rFonts w:ascii="Calibri" w:eastAsia="Franklin Gothic Book" w:hAnsi="Calibri" w:cs="Times New Roman"/>
          <w:noProof/>
          <w:color w:val="FF0000"/>
          <w:sz w:val="20"/>
          <w:szCs w:val="20"/>
          <w:highlight w:val="darkGreen"/>
        </w:rPr>
        <w:drawing>
          <wp:inline distT="0" distB="0" distL="0" distR="0" wp14:anchorId="15FA987D" wp14:editId="4C13CAE4">
            <wp:extent cx="6892119" cy="3370997"/>
            <wp:effectExtent l="0" t="0" r="4445"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AF364F" w14:textId="77777777" w:rsidR="004547F7" w:rsidRPr="00B9364B" w:rsidRDefault="004547F7" w:rsidP="004547F7">
      <w:pPr>
        <w:autoSpaceDE w:val="0"/>
        <w:autoSpaceDN w:val="0"/>
        <w:adjustRightInd w:val="0"/>
        <w:rPr>
          <w:rFonts w:ascii="Franklin Gothic Book" w:eastAsia="Franklin Gothic Book" w:hAnsi="Franklin Gothic Book" w:cs="Times New Roman"/>
          <w:bCs/>
          <w:color w:val="FF0000"/>
          <w:sz w:val="16"/>
          <w:szCs w:val="16"/>
        </w:rPr>
      </w:pPr>
    </w:p>
    <w:p w14:paraId="6EC34B3D" w14:textId="77777777" w:rsidR="004547F7" w:rsidRPr="00B9364B" w:rsidRDefault="004547F7" w:rsidP="004547F7">
      <w:pPr>
        <w:autoSpaceDE w:val="0"/>
        <w:autoSpaceDN w:val="0"/>
        <w:adjustRightInd w:val="0"/>
        <w:rPr>
          <w:rFonts w:ascii="Franklin Gothic Book" w:eastAsia="Franklin Gothic Book" w:hAnsi="Franklin Gothic Book" w:cs="Times New Roman"/>
          <w:bCs/>
          <w:color w:val="FF0000"/>
          <w:sz w:val="16"/>
          <w:szCs w:val="16"/>
        </w:rPr>
      </w:pPr>
    </w:p>
    <w:p w14:paraId="552A5B7E" w14:textId="77777777" w:rsidR="004547F7" w:rsidRPr="00601403" w:rsidRDefault="004547F7" w:rsidP="004547F7">
      <w:pPr>
        <w:autoSpaceDE w:val="0"/>
        <w:autoSpaceDN w:val="0"/>
        <w:adjustRightInd w:val="0"/>
        <w:rPr>
          <w:bCs/>
          <w:color w:val="002060"/>
          <w:sz w:val="16"/>
          <w:szCs w:val="16"/>
        </w:rPr>
      </w:pPr>
      <w:r w:rsidRPr="00601403">
        <w:rPr>
          <w:bCs/>
          <w:color w:val="002060"/>
          <w:sz w:val="16"/>
          <w:szCs w:val="16"/>
        </w:rPr>
        <w:t>Source: CCCCO Data Mart 2.0 Basic Skills Tracker</w:t>
      </w:r>
    </w:p>
    <w:p w14:paraId="5504E62F" w14:textId="77777777" w:rsidR="004547F7" w:rsidRPr="00B9364B" w:rsidRDefault="004547F7" w:rsidP="004547F7">
      <w:pPr>
        <w:autoSpaceDE w:val="0"/>
        <w:autoSpaceDN w:val="0"/>
        <w:adjustRightInd w:val="0"/>
        <w:rPr>
          <w:bCs/>
          <w:color w:val="FF0000"/>
          <w:sz w:val="20"/>
        </w:rPr>
      </w:pPr>
    </w:p>
    <w:p w14:paraId="37FF8B1E" w14:textId="77777777" w:rsidR="004547F7" w:rsidRDefault="004547F7" w:rsidP="004547F7">
      <w:pPr>
        <w:rPr>
          <w:color w:val="FF0000"/>
        </w:rPr>
      </w:pPr>
      <w:r>
        <w:rPr>
          <w:color w:val="FF0000"/>
        </w:rPr>
        <w:br w:type="page"/>
      </w:r>
    </w:p>
    <w:p w14:paraId="6188C2E8" w14:textId="77777777" w:rsidR="004547F7" w:rsidRPr="00B702D3" w:rsidRDefault="004547F7" w:rsidP="004547F7">
      <w:r w:rsidRPr="00B702D3">
        <w:lastRenderedPageBreak/>
        <w:t>Orange Coast</w:t>
      </w:r>
    </w:p>
    <w:p w14:paraId="56AA2349" w14:textId="1DB66B41" w:rsidR="004547F7" w:rsidRPr="00B702D3" w:rsidRDefault="004547F7" w:rsidP="004547F7">
      <w:r w:rsidRPr="00B702D3">
        <w:t>Overall</w:t>
      </w:r>
      <w:r w:rsidR="00FD1E7C">
        <w:t xml:space="preserve">, Orange Coast’s </w:t>
      </w:r>
      <w:r w:rsidR="00C57D79">
        <w:t>math p</w:t>
      </w:r>
      <w:r w:rsidRPr="00B702D3">
        <w:t>rogression rates have remained relatively steady over the last five cohorts. Students beginning at two levels below transfer-level ha</w:t>
      </w:r>
      <w:r w:rsidR="00D16B58">
        <w:t xml:space="preserve">ve success rates ranging </w:t>
      </w:r>
      <w:r w:rsidR="00D16B58" w:rsidRPr="00686B07">
        <w:t>from 54</w:t>
      </w:r>
      <w:r w:rsidRPr="00686B07">
        <w:t>% to 61%. Within t</w:t>
      </w:r>
      <w:r w:rsidR="00D16B58" w:rsidRPr="00686B07">
        <w:t>wo years, 31%</w:t>
      </w:r>
      <w:r w:rsidRPr="00686B07">
        <w:t xml:space="preserve"> of </w:t>
      </w:r>
      <w:r w:rsidRPr="00B702D3">
        <w:t>these students were successful at the next level. Between 10% and 16% of students progressed to and were su</w:t>
      </w:r>
      <w:r w:rsidR="00B65F9F">
        <w:t>ccessful at the transfer level.</w:t>
      </w:r>
    </w:p>
    <w:p w14:paraId="58187BAA" w14:textId="77777777" w:rsidR="004547F7" w:rsidRPr="00B702D3" w:rsidRDefault="004547F7" w:rsidP="004547F7"/>
    <w:p w14:paraId="3E4D01EC" w14:textId="77777777" w:rsidR="004547F7" w:rsidRPr="00B702D3" w:rsidRDefault="004547F7" w:rsidP="004547F7">
      <w:pPr>
        <w:autoSpaceDE w:val="0"/>
        <w:autoSpaceDN w:val="0"/>
        <w:adjustRightInd w:val="0"/>
        <w:jc w:val="center"/>
        <w:rPr>
          <w:rFonts w:ascii="Arial" w:eastAsia="Franklin Gothic Book" w:hAnsi="Arial" w:cs="Arial"/>
          <w:b/>
          <w:bCs/>
          <w:sz w:val="20"/>
          <w:szCs w:val="20"/>
        </w:rPr>
      </w:pPr>
      <w:r w:rsidRPr="00B702D3">
        <w:rPr>
          <w:rFonts w:ascii="Arial" w:eastAsia="Franklin Gothic Book" w:hAnsi="Arial" w:cs="Arial"/>
          <w:b/>
          <w:bCs/>
          <w:sz w:val="20"/>
          <w:szCs w:val="20"/>
        </w:rPr>
        <w:t>Orange Coast Math Basic Skills Students Progression to College Level within Two Years</w:t>
      </w:r>
    </w:p>
    <w:tbl>
      <w:tblPr>
        <w:tblW w:w="9850" w:type="dxa"/>
        <w:jc w:val="center"/>
        <w:tblLook w:val="04A0" w:firstRow="1" w:lastRow="0" w:firstColumn="1" w:lastColumn="0" w:noHBand="0" w:noVBand="1"/>
      </w:tblPr>
      <w:tblGrid>
        <w:gridCol w:w="2083"/>
        <w:gridCol w:w="1290"/>
        <w:gridCol w:w="1304"/>
        <w:gridCol w:w="1306"/>
        <w:gridCol w:w="1290"/>
        <w:gridCol w:w="8"/>
        <w:gridCol w:w="1281"/>
        <w:gridCol w:w="1288"/>
      </w:tblGrid>
      <w:tr w:rsidR="004547F7" w:rsidRPr="00B702D3" w14:paraId="29F55E7E" w14:textId="77777777" w:rsidTr="004547F7">
        <w:trPr>
          <w:trHeight w:val="300"/>
          <w:jc w:val="center"/>
        </w:trPr>
        <w:tc>
          <w:tcPr>
            <w:tcW w:w="1057" w:type="pct"/>
            <w:tcBorders>
              <w:bottom w:val="single" w:sz="4" w:space="0" w:color="D9D9D9" w:themeColor="background1" w:themeShade="D9"/>
              <w:right w:val="single" w:sz="4" w:space="0" w:color="BFBFBF" w:themeColor="background1" w:themeShade="BF"/>
            </w:tcBorders>
            <w:shd w:val="clear" w:color="auto" w:fill="auto"/>
            <w:noWrap/>
            <w:vAlign w:val="bottom"/>
            <w:hideMark/>
          </w:tcPr>
          <w:p w14:paraId="2B4F9A6B" w14:textId="77777777" w:rsidR="004547F7" w:rsidRPr="00B702D3" w:rsidRDefault="004547F7" w:rsidP="004547F7">
            <w:pPr>
              <w:jc w:val="center"/>
              <w:rPr>
                <w:rFonts w:ascii="Calibri" w:eastAsia="Times New Roman" w:hAnsi="Calibri" w:cs="Arial"/>
                <w:b/>
                <w:bCs/>
                <w:sz w:val="20"/>
                <w:szCs w:val="20"/>
                <w:u w:val="thick"/>
              </w:rPr>
            </w:pPr>
            <w:r w:rsidRPr="00B702D3">
              <w:rPr>
                <w:rFonts w:ascii="Calibri" w:eastAsia="Franklin Gothic Book" w:hAnsi="Calibri" w:cs="Arial"/>
                <w:b/>
                <w:bCs/>
                <w:sz w:val="20"/>
                <w:szCs w:val="20"/>
                <w:u w:val="thick"/>
              </w:rPr>
              <w:t>Orange Coast</w:t>
            </w:r>
          </w:p>
        </w:tc>
        <w:tc>
          <w:tcPr>
            <w:tcW w:w="1317" w:type="pct"/>
            <w:gridSpan w:val="2"/>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noWrap/>
            <w:vAlign w:val="bottom"/>
          </w:tcPr>
          <w:p w14:paraId="27E3D2FD"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Two Levels Below Transfer</w:t>
            </w:r>
          </w:p>
        </w:tc>
        <w:tc>
          <w:tcPr>
            <w:tcW w:w="1318" w:type="pct"/>
            <w:gridSpan w:val="2"/>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bottom"/>
          </w:tcPr>
          <w:p w14:paraId="6A21FEC3"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One Level Below Transfer</w:t>
            </w:r>
          </w:p>
        </w:tc>
        <w:tc>
          <w:tcPr>
            <w:tcW w:w="1308" w:type="pct"/>
            <w:gridSpan w:val="3"/>
            <w:tcBorders>
              <w:left w:val="single" w:sz="4" w:space="0" w:color="BFBFBF" w:themeColor="background1" w:themeShade="BF"/>
              <w:bottom w:val="single" w:sz="4" w:space="0" w:color="D9D9D9" w:themeColor="background1" w:themeShade="D9"/>
            </w:tcBorders>
            <w:shd w:val="clear" w:color="auto" w:fill="auto"/>
            <w:vAlign w:val="bottom"/>
          </w:tcPr>
          <w:p w14:paraId="35376A4A"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Transferable</w:t>
            </w:r>
          </w:p>
        </w:tc>
      </w:tr>
      <w:tr w:rsidR="004547F7" w:rsidRPr="00B702D3" w14:paraId="018AA55D"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4536D7CC"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Math</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640186A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29976A7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30DC411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0CBA758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683BE29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5C714C5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r>
      <w:tr w:rsidR="004547F7" w:rsidRPr="00B702D3" w14:paraId="54659358"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2F2F2" w:themeFill="background1" w:themeFillShade="F2"/>
            <w:noWrap/>
            <w:vAlign w:val="bottom"/>
          </w:tcPr>
          <w:p w14:paraId="1A05C22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11    to    Spring 13</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69F51BB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910</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7B35305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522</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428D6DC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412</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46B926D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271</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4814AF4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138</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5C94D2B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94</w:t>
            </w:r>
          </w:p>
        </w:tc>
      </w:tr>
      <w:tr w:rsidR="004547F7" w:rsidRPr="00B702D3" w14:paraId="7411A2D4"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57D28C6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4360574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62012A2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57%</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61BB724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45%</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6F1B487B"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30%</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04B8963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15%</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38677574"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10%</w:t>
            </w:r>
          </w:p>
        </w:tc>
      </w:tr>
      <w:tr w:rsidR="004547F7" w:rsidRPr="00B702D3" w14:paraId="44A52F32"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2F2F2" w:themeFill="background1" w:themeFillShade="F2"/>
            <w:noWrap/>
            <w:vAlign w:val="bottom"/>
          </w:tcPr>
          <w:p w14:paraId="63A087F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12    to    Spring 14</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208DE12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656</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7E048D9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368</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0FB962B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305</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560D574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203</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58DB2E1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120</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6B8411A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76</w:t>
            </w:r>
          </w:p>
        </w:tc>
      </w:tr>
      <w:tr w:rsidR="004547F7" w:rsidRPr="00B702D3" w14:paraId="496B60C4"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1010659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6016E05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68A98587"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56%</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4A748C0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46%</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742C7EF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31%</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6A0EEFA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5A0D405F"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12%</w:t>
            </w:r>
          </w:p>
        </w:tc>
      </w:tr>
      <w:tr w:rsidR="004547F7" w:rsidRPr="00B702D3" w14:paraId="5122C900"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2F2F2" w:themeFill="background1" w:themeFillShade="F2"/>
            <w:noWrap/>
            <w:vAlign w:val="bottom"/>
          </w:tcPr>
          <w:p w14:paraId="376C1A6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13    to    Spring 15</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493D4A5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758</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4F59C78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459</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4248F47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375</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03D7525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239</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767DEC8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165</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57E6ED1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115</w:t>
            </w:r>
          </w:p>
        </w:tc>
      </w:tr>
      <w:tr w:rsidR="004547F7" w:rsidRPr="00B702D3" w14:paraId="79CC4393"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3E85D49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2F38E17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342F93AA"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61%</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2040A20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49%</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6A947BAC"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32%</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5D5957D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22%</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478CA61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15%</w:t>
            </w:r>
          </w:p>
        </w:tc>
      </w:tr>
      <w:tr w:rsidR="004547F7" w:rsidRPr="00B702D3" w14:paraId="45E29FC2"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2C49575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14    to    Spring 16</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14A85EA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786</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1A44E3E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464</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5FE89CB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378</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79D1EDD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245</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059EB35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161</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3451EC4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122</w:t>
            </w:r>
          </w:p>
        </w:tc>
      </w:tr>
      <w:tr w:rsidR="004547F7" w:rsidRPr="00B702D3" w14:paraId="1FDF31C0"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2217BD41"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03C4300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1873F023"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59%</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32D035E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48%</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78B08175"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31%</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26635B9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4CBD93E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16%</w:t>
            </w:r>
          </w:p>
        </w:tc>
      </w:tr>
      <w:tr w:rsidR="00492412" w:rsidRPr="00FE4F12" w14:paraId="7B8FF7C3"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7F677DF6" w14:textId="2A08E38B"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Fall 15    to    Spring 17</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40583A65" w14:textId="1403F6F3"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735</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13C505D7" w14:textId="29C96174" w:rsidR="00492412" w:rsidRPr="00FE4F12" w:rsidRDefault="00492412" w:rsidP="00492412">
            <w:pPr>
              <w:jc w:val="center"/>
              <w:rPr>
                <w:rFonts w:ascii="Calibri" w:eastAsia="Times New Roman" w:hAnsi="Calibri" w:cs="Arial"/>
                <w:b/>
                <w:sz w:val="20"/>
                <w:szCs w:val="20"/>
              </w:rPr>
            </w:pPr>
            <w:r w:rsidRPr="00FE4F12">
              <w:rPr>
                <w:rFonts w:ascii="Calibri" w:eastAsia="Times New Roman" w:hAnsi="Calibri" w:cs="Arial"/>
                <w:sz w:val="20"/>
                <w:szCs w:val="20"/>
              </w:rPr>
              <w:t>394</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087DD815" w14:textId="6B4D7574"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321</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5ED76256" w14:textId="5CA2C916" w:rsidR="00492412" w:rsidRPr="00FE4F12" w:rsidRDefault="00492412" w:rsidP="00492412">
            <w:pPr>
              <w:jc w:val="center"/>
              <w:rPr>
                <w:rFonts w:ascii="Calibri" w:eastAsia="Times New Roman" w:hAnsi="Calibri" w:cs="Arial"/>
                <w:b/>
                <w:sz w:val="20"/>
                <w:szCs w:val="20"/>
              </w:rPr>
            </w:pPr>
            <w:r w:rsidRPr="00FE4F12">
              <w:rPr>
                <w:rFonts w:ascii="Calibri" w:eastAsia="Times New Roman" w:hAnsi="Calibri" w:cs="Arial"/>
                <w:sz w:val="20"/>
                <w:szCs w:val="20"/>
              </w:rPr>
              <w:t>231</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07E46CBD" w14:textId="79C34AC4"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150</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612C4CED" w14:textId="52244AF3" w:rsidR="00492412" w:rsidRPr="00FE4F12" w:rsidRDefault="00492412" w:rsidP="00492412">
            <w:pPr>
              <w:jc w:val="center"/>
              <w:rPr>
                <w:rFonts w:ascii="Calibri" w:eastAsia="Times New Roman" w:hAnsi="Calibri" w:cs="Arial"/>
                <w:b/>
                <w:sz w:val="20"/>
                <w:szCs w:val="20"/>
              </w:rPr>
            </w:pPr>
            <w:r w:rsidRPr="00FE4F12">
              <w:rPr>
                <w:rFonts w:ascii="Calibri" w:eastAsia="Times New Roman" w:hAnsi="Calibri" w:cs="Arial"/>
                <w:sz w:val="20"/>
                <w:szCs w:val="20"/>
              </w:rPr>
              <w:t>105</w:t>
            </w:r>
          </w:p>
        </w:tc>
      </w:tr>
      <w:tr w:rsidR="00492412" w:rsidRPr="00FE4F12" w14:paraId="58A7F0B5" w14:textId="77777777" w:rsidTr="004547F7">
        <w:trPr>
          <w:trHeight w:val="300"/>
          <w:jc w:val="center"/>
        </w:trPr>
        <w:tc>
          <w:tcPr>
            <w:tcW w:w="1057"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34E63A47" w14:textId="3C0E65A8"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Percent of Cohort</w:t>
            </w:r>
          </w:p>
        </w:tc>
        <w:tc>
          <w:tcPr>
            <w:tcW w:w="655"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noWrap/>
            <w:vAlign w:val="bottom"/>
          </w:tcPr>
          <w:p w14:paraId="7F5675A1" w14:textId="34F88D48"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100%</w:t>
            </w:r>
          </w:p>
        </w:tc>
        <w:tc>
          <w:tcPr>
            <w:tcW w:w="662" w:type="pct"/>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32EB9867" w14:textId="4D12A6D1" w:rsidR="00492412" w:rsidRPr="00FE4F12" w:rsidRDefault="00492412" w:rsidP="00492412">
            <w:pPr>
              <w:jc w:val="center"/>
              <w:rPr>
                <w:rFonts w:ascii="Calibri" w:eastAsia="Times New Roman" w:hAnsi="Calibri" w:cs="Arial"/>
                <w:b/>
                <w:sz w:val="20"/>
                <w:szCs w:val="20"/>
              </w:rPr>
            </w:pPr>
            <w:r w:rsidRPr="00FE4F12">
              <w:rPr>
                <w:rFonts w:ascii="Calibri" w:eastAsia="Times New Roman" w:hAnsi="Calibri" w:cs="Arial"/>
                <w:b/>
                <w:sz w:val="20"/>
                <w:szCs w:val="20"/>
              </w:rPr>
              <w:t>54%</w:t>
            </w:r>
          </w:p>
        </w:tc>
        <w:tc>
          <w:tcPr>
            <w:tcW w:w="663"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13426516" w14:textId="5D7D28F1"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44%</w:t>
            </w:r>
          </w:p>
        </w:tc>
        <w:tc>
          <w:tcPr>
            <w:tcW w:w="659" w:type="pct"/>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auto"/>
            <w:noWrap/>
            <w:vAlign w:val="bottom"/>
          </w:tcPr>
          <w:p w14:paraId="752CC346" w14:textId="4445F95D" w:rsidR="00492412" w:rsidRPr="00FE4F12" w:rsidRDefault="00492412" w:rsidP="00492412">
            <w:pPr>
              <w:jc w:val="center"/>
              <w:rPr>
                <w:rFonts w:ascii="Calibri" w:eastAsia="Times New Roman" w:hAnsi="Calibri" w:cs="Arial"/>
                <w:b/>
                <w:sz w:val="20"/>
                <w:szCs w:val="20"/>
              </w:rPr>
            </w:pPr>
            <w:r w:rsidRPr="00FE4F12">
              <w:rPr>
                <w:rFonts w:ascii="Calibri" w:eastAsia="Times New Roman" w:hAnsi="Calibri" w:cs="Arial"/>
                <w:b/>
                <w:sz w:val="20"/>
                <w:szCs w:val="20"/>
              </w:rPr>
              <w:t>31%</w:t>
            </w:r>
          </w:p>
        </w:tc>
        <w:tc>
          <w:tcPr>
            <w:tcW w:w="650" w:type="pct"/>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auto"/>
            <w:vAlign w:val="bottom"/>
          </w:tcPr>
          <w:p w14:paraId="514C3CCE" w14:textId="4B7C448B" w:rsidR="00492412" w:rsidRPr="00FE4F12" w:rsidRDefault="00492412" w:rsidP="00492412">
            <w:pPr>
              <w:jc w:val="center"/>
              <w:rPr>
                <w:rFonts w:ascii="Calibri" w:eastAsia="Times New Roman" w:hAnsi="Calibri" w:cs="Arial"/>
                <w:sz w:val="20"/>
                <w:szCs w:val="20"/>
              </w:rPr>
            </w:pPr>
            <w:r w:rsidRPr="00FE4F12">
              <w:rPr>
                <w:rFonts w:ascii="Calibri" w:eastAsia="Times New Roman" w:hAnsi="Calibri" w:cs="Arial"/>
                <w:sz w:val="20"/>
                <w:szCs w:val="20"/>
              </w:rPr>
              <w:t>20%</w:t>
            </w:r>
          </w:p>
        </w:tc>
        <w:tc>
          <w:tcPr>
            <w:tcW w:w="654" w:type="pct"/>
            <w:tcBorders>
              <w:top w:val="single" w:sz="4" w:space="0" w:color="D9D9D9" w:themeColor="background1" w:themeShade="D9"/>
              <w:bottom w:val="single" w:sz="4" w:space="0" w:color="D9D9D9" w:themeColor="background1" w:themeShade="D9"/>
            </w:tcBorders>
            <w:shd w:val="clear" w:color="auto" w:fill="auto"/>
            <w:noWrap/>
            <w:vAlign w:val="bottom"/>
          </w:tcPr>
          <w:p w14:paraId="74C585B9" w14:textId="082A2B78" w:rsidR="00492412" w:rsidRPr="00FE4F12" w:rsidRDefault="00492412" w:rsidP="00492412">
            <w:pPr>
              <w:jc w:val="center"/>
              <w:rPr>
                <w:rFonts w:ascii="Calibri" w:eastAsia="Times New Roman" w:hAnsi="Calibri" w:cs="Arial"/>
                <w:b/>
                <w:sz w:val="20"/>
                <w:szCs w:val="20"/>
              </w:rPr>
            </w:pPr>
            <w:r w:rsidRPr="00FE4F12">
              <w:rPr>
                <w:rFonts w:ascii="Calibri" w:eastAsia="Times New Roman" w:hAnsi="Calibri" w:cs="Arial"/>
                <w:b/>
                <w:sz w:val="20"/>
                <w:szCs w:val="20"/>
              </w:rPr>
              <w:t>14%</w:t>
            </w:r>
          </w:p>
        </w:tc>
      </w:tr>
    </w:tbl>
    <w:p w14:paraId="508454C3" w14:textId="77777777" w:rsidR="004547F7" w:rsidRPr="0060140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color w:val="002060"/>
        </w:rPr>
      </w:pPr>
    </w:p>
    <w:p w14:paraId="7FB497A6" w14:textId="77777777" w:rsidR="004547F7" w:rsidRPr="00601403"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color w:val="002060"/>
        </w:rPr>
      </w:pPr>
      <w:r w:rsidRPr="00601403">
        <w:rPr>
          <w:rFonts w:ascii="Calibri" w:eastAsia="Franklin Gothic Book" w:hAnsi="Calibri" w:cs="Times New Roman"/>
          <w:noProof/>
          <w:color w:val="002060"/>
          <w:sz w:val="20"/>
          <w:szCs w:val="20"/>
        </w:rPr>
        <w:drawing>
          <wp:inline distT="0" distB="0" distL="0" distR="0" wp14:anchorId="4D571395" wp14:editId="45F8845B">
            <wp:extent cx="6864824" cy="3370997"/>
            <wp:effectExtent l="0" t="0" r="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2AC133" w14:textId="77777777" w:rsidR="004547F7" w:rsidRPr="00601403" w:rsidRDefault="004547F7" w:rsidP="004547F7">
      <w:pPr>
        <w:autoSpaceDE w:val="0"/>
        <w:autoSpaceDN w:val="0"/>
        <w:adjustRightInd w:val="0"/>
        <w:rPr>
          <w:rFonts w:ascii="Franklin Gothic Book" w:eastAsia="Franklin Gothic Book" w:hAnsi="Franklin Gothic Book" w:cs="Times New Roman"/>
          <w:bCs/>
          <w:color w:val="002060"/>
          <w:sz w:val="16"/>
          <w:szCs w:val="16"/>
        </w:rPr>
      </w:pPr>
    </w:p>
    <w:p w14:paraId="5942B225" w14:textId="77777777" w:rsidR="004547F7" w:rsidRPr="00601403" w:rsidRDefault="004547F7" w:rsidP="004547F7">
      <w:pPr>
        <w:autoSpaceDE w:val="0"/>
        <w:autoSpaceDN w:val="0"/>
        <w:adjustRightInd w:val="0"/>
        <w:rPr>
          <w:bCs/>
          <w:color w:val="002060"/>
          <w:sz w:val="16"/>
          <w:szCs w:val="16"/>
        </w:rPr>
      </w:pPr>
    </w:p>
    <w:p w14:paraId="6EB90F81" w14:textId="77777777" w:rsidR="004547F7" w:rsidRPr="00B702D3" w:rsidRDefault="004547F7" w:rsidP="004547F7">
      <w:pPr>
        <w:autoSpaceDE w:val="0"/>
        <w:autoSpaceDN w:val="0"/>
        <w:adjustRightInd w:val="0"/>
        <w:rPr>
          <w:bCs/>
          <w:sz w:val="16"/>
          <w:szCs w:val="16"/>
        </w:rPr>
      </w:pPr>
      <w:r w:rsidRPr="00B702D3">
        <w:rPr>
          <w:bCs/>
          <w:sz w:val="16"/>
          <w:szCs w:val="16"/>
        </w:rPr>
        <w:t>Source: CCCCO Data Mart 2.0 Basic Skills Tracker</w:t>
      </w:r>
    </w:p>
    <w:p w14:paraId="0F9D5EEA" w14:textId="77777777" w:rsidR="000C198C" w:rsidRPr="00B9364B" w:rsidRDefault="000C198C" w:rsidP="00E0756A">
      <w:pPr>
        <w:autoSpaceDE w:val="0"/>
        <w:autoSpaceDN w:val="0"/>
        <w:adjustRightInd w:val="0"/>
        <w:rPr>
          <w:bCs/>
          <w:color w:val="FF0000"/>
          <w:sz w:val="20"/>
        </w:rPr>
      </w:pPr>
    </w:p>
    <w:p w14:paraId="4D76FC72" w14:textId="77777777" w:rsidR="004547F7" w:rsidRDefault="004547F7" w:rsidP="004547F7">
      <w:pPr>
        <w:pStyle w:val="Heading2"/>
      </w:pPr>
    </w:p>
    <w:p w14:paraId="1558593F" w14:textId="77777777" w:rsidR="004547F7" w:rsidRDefault="004547F7" w:rsidP="004547F7">
      <w:pPr>
        <w:rPr>
          <w:rFonts w:asciiTheme="majorHAnsi" w:eastAsiaTheme="majorEastAsia" w:hAnsiTheme="majorHAnsi" w:cstheme="majorBidi"/>
          <w:color w:val="4F81BD" w:themeColor="accent1"/>
          <w:sz w:val="26"/>
          <w:szCs w:val="26"/>
        </w:rPr>
      </w:pPr>
      <w:r>
        <w:br w:type="page"/>
      </w:r>
    </w:p>
    <w:p w14:paraId="53BD59A4" w14:textId="68BF7E2C" w:rsidR="004547F7" w:rsidRPr="00B702D3" w:rsidRDefault="004547F7" w:rsidP="004547F7">
      <w:pPr>
        <w:pStyle w:val="Heading2"/>
        <w:rPr>
          <w:color w:val="auto"/>
        </w:rPr>
      </w:pPr>
      <w:bookmarkStart w:id="44" w:name="_Toc506217403"/>
      <w:r w:rsidRPr="00B702D3">
        <w:rPr>
          <w:color w:val="auto"/>
        </w:rPr>
        <w:lastRenderedPageBreak/>
        <w:t>ESL Progression</w:t>
      </w:r>
      <w:bookmarkEnd w:id="44"/>
    </w:p>
    <w:p w14:paraId="2224C8CA" w14:textId="77777777" w:rsidR="004547F7" w:rsidRPr="00B702D3" w:rsidRDefault="004547F7" w:rsidP="004547F7">
      <w:r w:rsidRPr="00B702D3">
        <w:t>Coastline</w:t>
      </w:r>
    </w:p>
    <w:p w14:paraId="7837A98C" w14:textId="77777777" w:rsidR="004547F7" w:rsidRPr="00B702D3" w:rsidRDefault="004547F7" w:rsidP="004547F7">
      <w:pPr>
        <w:rPr>
          <w:i/>
        </w:rPr>
      </w:pPr>
      <w:r w:rsidRPr="00B702D3">
        <w:rPr>
          <w:i/>
        </w:rPr>
        <w:t>The numbers for Coastline Community College are not included in this report since the ESL writing cohorts are too small to be reported.</w:t>
      </w:r>
    </w:p>
    <w:p w14:paraId="0A705A98" w14:textId="77777777" w:rsidR="004547F7" w:rsidRPr="00B702D3" w:rsidRDefault="004547F7" w:rsidP="004547F7"/>
    <w:p w14:paraId="13504114" w14:textId="77777777" w:rsidR="004547F7" w:rsidRPr="00B702D3" w:rsidRDefault="004547F7" w:rsidP="004547F7">
      <w:r w:rsidRPr="00B702D3">
        <w:t>Golden West</w:t>
      </w:r>
    </w:p>
    <w:p w14:paraId="08DD572A" w14:textId="36F7F08A" w:rsidR="004547F7" w:rsidRPr="00FE4F12" w:rsidRDefault="003C3D7C" w:rsidP="004547F7">
      <w:r>
        <w:t>Over the past five</w:t>
      </w:r>
      <w:r w:rsidR="004547F7" w:rsidRPr="00B702D3">
        <w:t xml:space="preserve"> cohorts tracked, Golden West ESL </w:t>
      </w:r>
      <w:r w:rsidR="004547F7" w:rsidRPr="00FE4F12">
        <w:t>students beginning at two levels below college level are showing substantial successful progression rates. Succ</w:t>
      </w:r>
      <w:r w:rsidR="00D16B58" w:rsidRPr="00FE4F12">
        <w:t xml:space="preserve">ess at two-levels below increased from 30% </w:t>
      </w:r>
      <w:r>
        <w:t>for the Fall 14 to Spring 16 cohort to</w:t>
      </w:r>
      <w:r w:rsidR="00D16B58" w:rsidRPr="00FE4F12">
        <w:t xml:space="preserve"> 5</w:t>
      </w:r>
      <w:r>
        <w:t>6</w:t>
      </w:r>
      <w:r w:rsidR="004547F7" w:rsidRPr="00FE4F12">
        <w:t>%</w:t>
      </w:r>
      <w:r>
        <w:t xml:space="preserve"> for the Fall 15 to Spring 17 cohort</w:t>
      </w:r>
      <w:r w:rsidR="004547F7" w:rsidRPr="00FE4F12">
        <w:t xml:space="preserve">.  </w:t>
      </w:r>
      <w:r>
        <w:t>T</w:t>
      </w:r>
      <w:r w:rsidR="004547F7" w:rsidRPr="00FE4F12">
        <w:t>he transfer-level prog</w:t>
      </w:r>
      <w:r w:rsidR="00D16B58" w:rsidRPr="00FE4F12">
        <w:t xml:space="preserve">ression rates </w:t>
      </w:r>
      <w:r>
        <w:t xml:space="preserve">for these two most recent cohorts </w:t>
      </w:r>
      <w:r w:rsidR="00D16B58" w:rsidRPr="00FE4F12">
        <w:t>dropped from 25</w:t>
      </w:r>
      <w:r w:rsidR="004547F7" w:rsidRPr="00FE4F12">
        <w:t>%</w:t>
      </w:r>
      <w:r w:rsidR="00D16B58" w:rsidRPr="00FE4F12">
        <w:t xml:space="preserve"> to 24</w:t>
      </w:r>
      <w:r w:rsidR="004547F7" w:rsidRPr="00FE4F12">
        <w:t xml:space="preserve">%. </w:t>
      </w:r>
    </w:p>
    <w:p w14:paraId="2E6590E5" w14:textId="77777777" w:rsidR="004547F7" w:rsidRPr="00B702D3" w:rsidRDefault="004547F7" w:rsidP="004547F7"/>
    <w:p w14:paraId="0974623C" w14:textId="2F4D30C0" w:rsidR="004547F7" w:rsidRPr="00B702D3" w:rsidRDefault="004547F7" w:rsidP="004547F7">
      <w:pPr>
        <w:autoSpaceDE w:val="0"/>
        <w:autoSpaceDN w:val="0"/>
        <w:adjustRightInd w:val="0"/>
        <w:jc w:val="center"/>
        <w:rPr>
          <w:rFonts w:ascii="Arial" w:eastAsia="Franklin Gothic Book" w:hAnsi="Arial" w:cs="Arial"/>
          <w:b/>
          <w:bCs/>
          <w:sz w:val="20"/>
          <w:szCs w:val="20"/>
        </w:rPr>
      </w:pPr>
      <w:r w:rsidRPr="00B702D3">
        <w:rPr>
          <w:rFonts w:ascii="Arial" w:eastAsia="Franklin Gothic Book" w:hAnsi="Arial" w:cs="Arial"/>
          <w:b/>
          <w:bCs/>
          <w:sz w:val="20"/>
          <w:szCs w:val="20"/>
        </w:rPr>
        <w:t xml:space="preserve">Golden West ESL Basic Skills </w:t>
      </w:r>
      <w:r w:rsidR="00FE16CC">
        <w:rPr>
          <w:rFonts w:ascii="Arial" w:eastAsia="Franklin Gothic Book" w:hAnsi="Arial" w:cs="Arial"/>
          <w:b/>
          <w:bCs/>
          <w:sz w:val="20"/>
          <w:szCs w:val="20"/>
        </w:rPr>
        <w:t xml:space="preserve">(Writing) </w:t>
      </w:r>
      <w:r w:rsidRPr="00B702D3">
        <w:rPr>
          <w:rFonts w:ascii="Arial" w:eastAsia="Franklin Gothic Book" w:hAnsi="Arial" w:cs="Arial"/>
          <w:b/>
          <w:bCs/>
          <w:sz w:val="20"/>
          <w:szCs w:val="20"/>
        </w:rPr>
        <w:t>Students Progression to College Level within Two Years</w:t>
      </w:r>
    </w:p>
    <w:tbl>
      <w:tblPr>
        <w:tblW w:w="9850" w:type="dxa"/>
        <w:jc w:val="center"/>
        <w:tblLook w:val="04A0" w:firstRow="1" w:lastRow="0" w:firstColumn="1" w:lastColumn="0" w:noHBand="0" w:noVBand="1"/>
      </w:tblPr>
      <w:tblGrid>
        <w:gridCol w:w="2083"/>
        <w:gridCol w:w="1290"/>
        <w:gridCol w:w="1304"/>
        <w:gridCol w:w="1306"/>
        <w:gridCol w:w="1290"/>
        <w:gridCol w:w="8"/>
        <w:gridCol w:w="1281"/>
        <w:gridCol w:w="1288"/>
      </w:tblGrid>
      <w:tr w:rsidR="004547F7" w:rsidRPr="00B702D3" w14:paraId="33C33961" w14:textId="77777777" w:rsidTr="004547F7">
        <w:trPr>
          <w:trHeight w:val="300"/>
          <w:jc w:val="center"/>
        </w:trPr>
        <w:tc>
          <w:tcPr>
            <w:tcW w:w="1057"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50E93E62" w14:textId="77777777" w:rsidR="004547F7" w:rsidRPr="00B702D3" w:rsidRDefault="004547F7" w:rsidP="004547F7">
            <w:pPr>
              <w:jc w:val="center"/>
              <w:rPr>
                <w:rFonts w:ascii="Calibri" w:eastAsia="Times New Roman" w:hAnsi="Calibri" w:cs="Arial"/>
                <w:b/>
                <w:bCs/>
                <w:sz w:val="20"/>
                <w:szCs w:val="20"/>
                <w:u w:val="thick"/>
              </w:rPr>
            </w:pPr>
            <w:r w:rsidRPr="00B702D3">
              <w:rPr>
                <w:rFonts w:ascii="Calibri" w:eastAsia="Times New Roman" w:hAnsi="Calibri" w:cs="Arial"/>
                <w:b/>
                <w:bCs/>
                <w:sz w:val="20"/>
                <w:szCs w:val="20"/>
                <w:u w:val="thick"/>
              </w:rPr>
              <w:t>Golden West</w:t>
            </w:r>
          </w:p>
        </w:tc>
        <w:tc>
          <w:tcPr>
            <w:tcW w:w="1317"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F0B2459"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Two Levels Below Transfer</w:t>
            </w:r>
          </w:p>
        </w:tc>
        <w:tc>
          <w:tcPr>
            <w:tcW w:w="1318"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97E2FA5"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One Level Below Transfer</w:t>
            </w:r>
          </w:p>
        </w:tc>
        <w:tc>
          <w:tcPr>
            <w:tcW w:w="1308" w:type="pct"/>
            <w:gridSpan w:val="3"/>
            <w:tcBorders>
              <w:left w:val="single" w:sz="4" w:space="0" w:color="BFBFBF" w:themeColor="background1" w:themeShade="BF"/>
              <w:bottom w:val="single" w:sz="4" w:space="0" w:color="BFBFBF" w:themeColor="background1" w:themeShade="BF"/>
            </w:tcBorders>
            <w:shd w:val="clear" w:color="auto" w:fill="auto"/>
            <w:vAlign w:val="bottom"/>
          </w:tcPr>
          <w:p w14:paraId="48F68117" w14:textId="77777777" w:rsidR="004547F7" w:rsidRPr="00B702D3" w:rsidRDefault="004547F7" w:rsidP="004547F7">
            <w:pPr>
              <w:jc w:val="center"/>
              <w:rPr>
                <w:rFonts w:ascii="Calibri" w:eastAsia="Times New Roman" w:hAnsi="Calibri" w:cs="Arial"/>
                <w:bCs/>
                <w:sz w:val="20"/>
                <w:szCs w:val="20"/>
              </w:rPr>
            </w:pPr>
            <w:r w:rsidRPr="00B702D3">
              <w:rPr>
                <w:rFonts w:ascii="Calibri" w:eastAsia="Times New Roman" w:hAnsi="Calibri" w:cs="Arial"/>
                <w:bCs/>
                <w:sz w:val="20"/>
                <w:szCs w:val="20"/>
              </w:rPr>
              <w:t>Transferable</w:t>
            </w:r>
          </w:p>
        </w:tc>
      </w:tr>
      <w:tr w:rsidR="004547F7" w:rsidRPr="00B702D3" w14:paraId="71DA94FB"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7D18E6"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ESL/English Writing</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131278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5C5C55F"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F31C63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8E441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3D6CFA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Students</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42E8A3A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Success</w:t>
            </w:r>
          </w:p>
        </w:tc>
      </w:tr>
      <w:tr w:rsidR="004547F7" w:rsidRPr="00B702D3" w14:paraId="02B8946B"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790C77A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11    to    Spring 13</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E56BF7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32</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0FD3AC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26</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DC50E2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23</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BBCE5E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23</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8CCB2C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6FF41AE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13</w:t>
            </w:r>
          </w:p>
        </w:tc>
      </w:tr>
      <w:tr w:rsidR="004547F7" w:rsidRPr="00B702D3" w14:paraId="21B98AE4"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E227C7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0C0D2EB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0C69C83"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81%</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E6F52F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72%</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FCE8D7E"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72%</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2170AB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41%</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1902F68F"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41%</w:t>
            </w:r>
          </w:p>
        </w:tc>
      </w:tr>
      <w:tr w:rsidR="004547F7" w:rsidRPr="00B702D3" w14:paraId="36A2370B"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6612167B"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12    to    Spring 14</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EF55BB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30</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5CCCFC2"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21</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D4AE92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18</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DDEF599"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17</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D80E18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12</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64589D9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11</w:t>
            </w:r>
          </w:p>
        </w:tc>
      </w:tr>
      <w:tr w:rsidR="004547F7" w:rsidRPr="00B702D3" w14:paraId="65057C44"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82679A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715377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3FE5EA6"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70%</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081CE8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60%</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EDD3B8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57%</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840A69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40%</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6344E4AC"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37%</w:t>
            </w:r>
          </w:p>
        </w:tc>
      </w:tr>
      <w:tr w:rsidR="004547F7" w:rsidRPr="00B702D3" w14:paraId="24F13231"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1E7D181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13    to    Spring 15</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013017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24</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42B8EB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8</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60ED894"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9</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2974DE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7</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19564B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5B45EF10"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w:t>
            </w:r>
          </w:p>
        </w:tc>
      </w:tr>
      <w:tr w:rsidR="004547F7" w:rsidRPr="00B702D3" w14:paraId="73423850"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41F526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0A9E42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0A2B417"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33%</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CE39CD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38%</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05A133"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29%</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A06165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25%</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0693E844"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21%</w:t>
            </w:r>
          </w:p>
        </w:tc>
      </w:tr>
      <w:tr w:rsidR="004547F7" w:rsidRPr="00B702D3" w14:paraId="0A4982B3"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E775D6E"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Fall 14    to    Spring 16</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448354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20</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130C958"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7A92C07"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00AFA83"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6</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03931B5"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1D34B67C"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5</w:t>
            </w:r>
          </w:p>
        </w:tc>
      </w:tr>
      <w:tr w:rsidR="004547F7" w:rsidRPr="00B702D3" w14:paraId="28743902"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127C3B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Percent of Cohort</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D8C80FA"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100%</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23CB876"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30%</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E7D3ED6"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30%</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5E08BE2"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30%</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2633C7D" w14:textId="77777777" w:rsidR="004547F7" w:rsidRPr="00B702D3" w:rsidRDefault="004547F7" w:rsidP="004547F7">
            <w:pPr>
              <w:jc w:val="center"/>
              <w:rPr>
                <w:rFonts w:ascii="Calibri" w:eastAsia="Times New Roman" w:hAnsi="Calibri" w:cs="Arial"/>
                <w:sz w:val="20"/>
                <w:szCs w:val="20"/>
              </w:rPr>
            </w:pPr>
            <w:r w:rsidRPr="00B702D3">
              <w:rPr>
                <w:rFonts w:ascii="Calibri" w:eastAsia="Times New Roman" w:hAnsi="Calibri" w:cs="Arial"/>
                <w:sz w:val="20"/>
                <w:szCs w:val="20"/>
              </w:rPr>
              <w:t>25%</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541443A7" w14:textId="77777777" w:rsidR="004547F7" w:rsidRPr="00B702D3" w:rsidRDefault="004547F7" w:rsidP="004547F7">
            <w:pPr>
              <w:jc w:val="center"/>
              <w:rPr>
                <w:rFonts w:ascii="Calibri" w:eastAsia="Times New Roman" w:hAnsi="Calibri" w:cs="Arial"/>
                <w:b/>
                <w:sz w:val="20"/>
                <w:szCs w:val="20"/>
              </w:rPr>
            </w:pPr>
            <w:r w:rsidRPr="00B702D3">
              <w:rPr>
                <w:rFonts w:ascii="Calibri" w:eastAsia="Times New Roman" w:hAnsi="Calibri" w:cs="Arial"/>
                <w:b/>
                <w:sz w:val="20"/>
                <w:szCs w:val="20"/>
              </w:rPr>
              <w:t>25%</w:t>
            </w:r>
          </w:p>
        </w:tc>
      </w:tr>
      <w:tr w:rsidR="00FA5A97" w:rsidRPr="00B702D3" w14:paraId="41C9A7CA"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9FC1BE8" w14:textId="3435641A" w:rsidR="00FA5A97" w:rsidRPr="00FE4F12" w:rsidRDefault="00FA5A97" w:rsidP="00FA5A97">
            <w:pPr>
              <w:jc w:val="center"/>
              <w:rPr>
                <w:rFonts w:ascii="Calibri" w:eastAsia="Times New Roman" w:hAnsi="Calibri" w:cs="Arial"/>
                <w:sz w:val="20"/>
                <w:szCs w:val="20"/>
              </w:rPr>
            </w:pPr>
            <w:r w:rsidRPr="00FE4F12">
              <w:rPr>
                <w:rFonts w:ascii="Calibri" w:eastAsia="Times New Roman" w:hAnsi="Calibri" w:cs="Arial"/>
                <w:sz w:val="20"/>
                <w:szCs w:val="20"/>
              </w:rPr>
              <w:t>Fall 15    to    Spring 17</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7C74661" w14:textId="1A452FAA" w:rsidR="00FA5A97" w:rsidRPr="00FE4F12" w:rsidRDefault="00FA5A97" w:rsidP="00FA5A97">
            <w:pPr>
              <w:jc w:val="center"/>
              <w:rPr>
                <w:rFonts w:ascii="Calibri" w:eastAsia="Times New Roman" w:hAnsi="Calibri" w:cs="Arial"/>
                <w:sz w:val="20"/>
                <w:szCs w:val="20"/>
              </w:rPr>
            </w:pPr>
            <w:r w:rsidRPr="00FE4F12">
              <w:rPr>
                <w:rFonts w:ascii="Calibri" w:eastAsia="Times New Roman" w:hAnsi="Calibri" w:cs="Arial"/>
                <w:sz w:val="20"/>
                <w:szCs w:val="20"/>
              </w:rPr>
              <w:t>41</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2E3F2CC" w14:textId="12E6B843" w:rsidR="00FA5A97" w:rsidRPr="00FE4F12" w:rsidRDefault="00FA5A97" w:rsidP="00FA5A97">
            <w:pPr>
              <w:jc w:val="center"/>
              <w:rPr>
                <w:rFonts w:ascii="Calibri" w:eastAsia="Times New Roman" w:hAnsi="Calibri" w:cs="Arial"/>
                <w:b/>
                <w:sz w:val="20"/>
                <w:szCs w:val="20"/>
              </w:rPr>
            </w:pPr>
            <w:r w:rsidRPr="00FE4F12">
              <w:rPr>
                <w:rFonts w:ascii="Calibri" w:eastAsia="Times New Roman" w:hAnsi="Calibri" w:cs="Arial"/>
                <w:sz w:val="20"/>
                <w:szCs w:val="20"/>
              </w:rPr>
              <w:t>2</w:t>
            </w:r>
            <w:r w:rsidR="00787DEC" w:rsidRPr="00FE4F12">
              <w:rPr>
                <w:rFonts w:ascii="Calibri" w:eastAsia="Times New Roman" w:hAnsi="Calibri" w:cs="Arial"/>
                <w:sz w:val="20"/>
                <w:szCs w:val="20"/>
              </w:rPr>
              <w:t>3</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DE643D0" w14:textId="38379152" w:rsidR="00FA5A97" w:rsidRPr="00FE4F12" w:rsidRDefault="00FA5A97" w:rsidP="00FA5A97">
            <w:pPr>
              <w:jc w:val="center"/>
              <w:rPr>
                <w:rFonts w:ascii="Calibri" w:eastAsia="Times New Roman" w:hAnsi="Calibri" w:cs="Arial"/>
                <w:sz w:val="20"/>
                <w:szCs w:val="20"/>
              </w:rPr>
            </w:pPr>
            <w:r w:rsidRPr="00FE4F12">
              <w:rPr>
                <w:rFonts w:ascii="Calibri" w:eastAsia="Times New Roman" w:hAnsi="Calibri" w:cs="Arial"/>
                <w:sz w:val="20"/>
                <w:szCs w:val="20"/>
              </w:rPr>
              <w:t>2</w:t>
            </w:r>
            <w:r w:rsidR="00787DEC" w:rsidRPr="00FE4F12">
              <w:rPr>
                <w:rFonts w:ascii="Calibri" w:eastAsia="Times New Roman" w:hAnsi="Calibri" w:cs="Arial"/>
                <w:sz w:val="20"/>
                <w:szCs w:val="20"/>
              </w:rPr>
              <w:t>1</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5C47C3F" w14:textId="46CECC5B" w:rsidR="00FA5A97" w:rsidRPr="00FE4F12" w:rsidRDefault="00FA5A97" w:rsidP="00FA5A97">
            <w:pPr>
              <w:jc w:val="center"/>
              <w:rPr>
                <w:rFonts w:ascii="Calibri" w:eastAsia="Times New Roman" w:hAnsi="Calibri" w:cs="Arial"/>
                <w:b/>
                <w:sz w:val="20"/>
                <w:szCs w:val="20"/>
              </w:rPr>
            </w:pPr>
            <w:r w:rsidRPr="00FE4F12">
              <w:rPr>
                <w:rFonts w:ascii="Calibri" w:eastAsia="Times New Roman" w:hAnsi="Calibri" w:cs="Arial"/>
                <w:sz w:val="20"/>
                <w:szCs w:val="20"/>
              </w:rPr>
              <w:t>1</w:t>
            </w:r>
            <w:r w:rsidR="00787DEC" w:rsidRPr="00FE4F12">
              <w:rPr>
                <w:rFonts w:ascii="Calibri" w:eastAsia="Times New Roman" w:hAnsi="Calibri" w:cs="Arial"/>
                <w:sz w:val="20"/>
                <w:szCs w:val="20"/>
              </w:rPr>
              <w:t>9</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DDF5620" w14:textId="6F7B0498" w:rsidR="00FA5A97" w:rsidRPr="00FE4F12" w:rsidRDefault="00FA5A97" w:rsidP="00FA5A97">
            <w:pPr>
              <w:jc w:val="center"/>
              <w:rPr>
                <w:rFonts w:ascii="Calibri" w:eastAsia="Times New Roman" w:hAnsi="Calibri" w:cs="Arial"/>
                <w:sz w:val="20"/>
                <w:szCs w:val="20"/>
              </w:rPr>
            </w:pPr>
            <w:r w:rsidRPr="00FE4F12">
              <w:rPr>
                <w:rFonts w:ascii="Calibri" w:eastAsia="Times New Roman" w:hAnsi="Calibri" w:cs="Arial"/>
                <w:sz w:val="20"/>
                <w:szCs w:val="20"/>
              </w:rPr>
              <w:t>12</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0BF7F048" w14:textId="603C4298" w:rsidR="00FA5A97" w:rsidRPr="00FE4F12" w:rsidRDefault="00FA5A97" w:rsidP="00FA5A97">
            <w:pPr>
              <w:jc w:val="center"/>
              <w:rPr>
                <w:rFonts w:ascii="Calibri" w:eastAsia="Times New Roman" w:hAnsi="Calibri" w:cs="Arial"/>
                <w:b/>
                <w:sz w:val="20"/>
                <w:szCs w:val="20"/>
              </w:rPr>
            </w:pPr>
            <w:r w:rsidRPr="00FE4F12">
              <w:rPr>
                <w:rFonts w:ascii="Calibri" w:eastAsia="Times New Roman" w:hAnsi="Calibri" w:cs="Arial"/>
                <w:sz w:val="20"/>
                <w:szCs w:val="20"/>
              </w:rPr>
              <w:t>10</w:t>
            </w:r>
          </w:p>
        </w:tc>
      </w:tr>
      <w:tr w:rsidR="00FA5A97" w:rsidRPr="00B702D3" w14:paraId="604013CA" w14:textId="77777777" w:rsidTr="004547F7">
        <w:trPr>
          <w:trHeight w:val="300"/>
          <w:jc w:val="center"/>
        </w:trPr>
        <w:tc>
          <w:tcPr>
            <w:tcW w:w="10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3A139B" w14:textId="2E8AED18" w:rsidR="00FA5A97" w:rsidRPr="00FE4F12" w:rsidRDefault="00FA5A97" w:rsidP="00FA5A97">
            <w:pPr>
              <w:jc w:val="center"/>
              <w:rPr>
                <w:rFonts w:ascii="Calibri" w:eastAsia="Times New Roman" w:hAnsi="Calibri" w:cs="Arial"/>
                <w:sz w:val="20"/>
                <w:szCs w:val="20"/>
              </w:rPr>
            </w:pPr>
            <w:r w:rsidRPr="00FE4F12">
              <w:rPr>
                <w:rFonts w:ascii="Calibri" w:eastAsia="Times New Roman" w:hAnsi="Calibri" w:cs="Arial"/>
                <w:sz w:val="20"/>
                <w:szCs w:val="20"/>
              </w:rPr>
              <w:t>Percent of Cohort</w:t>
            </w:r>
          </w:p>
        </w:tc>
        <w:tc>
          <w:tcPr>
            <w:tcW w:w="65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60F1C91" w14:textId="209D154B" w:rsidR="00FA5A97" w:rsidRPr="00FE4F12" w:rsidRDefault="00FA5A97" w:rsidP="00FA5A97">
            <w:pPr>
              <w:jc w:val="center"/>
              <w:rPr>
                <w:rFonts w:ascii="Calibri" w:eastAsia="Times New Roman" w:hAnsi="Calibri" w:cs="Arial"/>
                <w:sz w:val="20"/>
                <w:szCs w:val="20"/>
              </w:rPr>
            </w:pPr>
            <w:r w:rsidRPr="00FE4F12">
              <w:rPr>
                <w:rFonts w:ascii="Calibri" w:eastAsia="Times New Roman" w:hAnsi="Calibri" w:cs="Arial"/>
                <w:sz w:val="20"/>
                <w:szCs w:val="20"/>
              </w:rPr>
              <w:t>100%</w:t>
            </w:r>
          </w:p>
        </w:tc>
        <w:tc>
          <w:tcPr>
            <w:tcW w:w="66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CC7B8CC" w14:textId="0682A989" w:rsidR="00FA5A97" w:rsidRPr="00FE4F12" w:rsidRDefault="00FA5A97" w:rsidP="00FA5A97">
            <w:pPr>
              <w:jc w:val="center"/>
              <w:rPr>
                <w:rFonts w:ascii="Calibri" w:eastAsia="Times New Roman" w:hAnsi="Calibri" w:cs="Arial"/>
                <w:b/>
                <w:sz w:val="20"/>
                <w:szCs w:val="20"/>
              </w:rPr>
            </w:pPr>
            <w:r w:rsidRPr="00FE4F12">
              <w:rPr>
                <w:rFonts w:ascii="Calibri" w:eastAsia="Times New Roman" w:hAnsi="Calibri" w:cs="Arial"/>
                <w:b/>
                <w:sz w:val="20"/>
                <w:szCs w:val="20"/>
              </w:rPr>
              <w:t>5</w:t>
            </w:r>
            <w:r w:rsidR="00787DEC" w:rsidRPr="00FE4F12">
              <w:rPr>
                <w:rFonts w:ascii="Calibri" w:eastAsia="Times New Roman" w:hAnsi="Calibri" w:cs="Arial"/>
                <w:b/>
                <w:sz w:val="20"/>
                <w:szCs w:val="20"/>
              </w:rPr>
              <w:t>6</w:t>
            </w:r>
            <w:r w:rsidRPr="00FE4F12">
              <w:rPr>
                <w:rFonts w:ascii="Calibri" w:eastAsia="Times New Roman" w:hAnsi="Calibri" w:cs="Arial"/>
                <w:b/>
                <w:sz w:val="20"/>
                <w:szCs w:val="20"/>
              </w:rPr>
              <w:t>%</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50946F3" w14:textId="5DAEA484" w:rsidR="00FA5A97" w:rsidRPr="00FE4F12" w:rsidRDefault="00787DEC" w:rsidP="00FA5A97">
            <w:pPr>
              <w:jc w:val="center"/>
              <w:rPr>
                <w:rFonts w:ascii="Calibri" w:eastAsia="Times New Roman" w:hAnsi="Calibri" w:cs="Arial"/>
                <w:sz w:val="20"/>
                <w:szCs w:val="20"/>
              </w:rPr>
            </w:pPr>
            <w:r w:rsidRPr="00FE4F12">
              <w:rPr>
                <w:rFonts w:ascii="Calibri" w:eastAsia="Times New Roman" w:hAnsi="Calibri" w:cs="Arial"/>
                <w:sz w:val="20"/>
                <w:szCs w:val="20"/>
              </w:rPr>
              <w:t>51</w:t>
            </w:r>
            <w:r w:rsidR="00FA5A97" w:rsidRPr="00FE4F12">
              <w:rPr>
                <w:rFonts w:ascii="Calibri" w:eastAsia="Times New Roman" w:hAnsi="Calibri" w:cs="Arial"/>
                <w:sz w:val="20"/>
                <w:szCs w:val="20"/>
              </w:rPr>
              <w:t>%</w:t>
            </w:r>
          </w:p>
        </w:tc>
        <w:tc>
          <w:tcPr>
            <w:tcW w:w="659" w:type="pct"/>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FF38DC6" w14:textId="0FEA3B31" w:rsidR="00FA5A97" w:rsidRPr="00FE4F12" w:rsidRDefault="00FA5A97" w:rsidP="00FA5A97">
            <w:pPr>
              <w:jc w:val="center"/>
              <w:rPr>
                <w:rFonts w:ascii="Calibri" w:eastAsia="Times New Roman" w:hAnsi="Calibri" w:cs="Arial"/>
                <w:b/>
                <w:sz w:val="20"/>
                <w:szCs w:val="20"/>
              </w:rPr>
            </w:pPr>
            <w:r w:rsidRPr="00FE4F12">
              <w:rPr>
                <w:rFonts w:ascii="Calibri" w:eastAsia="Times New Roman" w:hAnsi="Calibri" w:cs="Arial"/>
                <w:b/>
                <w:sz w:val="20"/>
                <w:szCs w:val="20"/>
              </w:rPr>
              <w:t>4</w:t>
            </w:r>
            <w:r w:rsidR="00787DEC" w:rsidRPr="00FE4F12">
              <w:rPr>
                <w:rFonts w:ascii="Calibri" w:eastAsia="Times New Roman" w:hAnsi="Calibri" w:cs="Arial"/>
                <w:b/>
                <w:sz w:val="20"/>
                <w:szCs w:val="20"/>
              </w:rPr>
              <w:t>6</w:t>
            </w:r>
            <w:r w:rsidRPr="00FE4F12">
              <w:rPr>
                <w:rFonts w:ascii="Calibri" w:eastAsia="Times New Roman" w:hAnsi="Calibri" w:cs="Arial"/>
                <w:b/>
                <w:sz w:val="20"/>
                <w:szCs w:val="20"/>
              </w:rPr>
              <w:t>%</w:t>
            </w:r>
          </w:p>
        </w:tc>
        <w:tc>
          <w:tcPr>
            <w:tcW w:w="65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D92D94A" w14:textId="70C07D74" w:rsidR="00FA5A97" w:rsidRPr="00FE4F12" w:rsidRDefault="00FA5A97" w:rsidP="00FA5A97">
            <w:pPr>
              <w:jc w:val="center"/>
              <w:rPr>
                <w:rFonts w:ascii="Calibri" w:eastAsia="Times New Roman" w:hAnsi="Calibri" w:cs="Arial"/>
                <w:sz w:val="20"/>
                <w:szCs w:val="20"/>
              </w:rPr>
            </w:pPr>
            <w:r w:rsidRPr="00FE4F12">
              <w:rPr>
                <w:rFonts w:ascii="Calibri" w:eastAsia="Times New Roman" w:hAnsi="Calibri" w:cs="Arial"/>
                <w:sz w:val="20"/>
                <w:szCs w:val="20"/>
              </w:rPr>
              <w:t>29%</w:t>
            </w:r>
          </w:p>
        </w:tc>
        <w:tc>
          <w:tcPr>
            <w:tcW w:w="654" w:type="pct"/>
            <w:tcBorders>
              <w:top w:val="single" w:sz="4" w:space="0" w:color="BFBFBF" w:themeColor="background1" w:themeShade="BF"/>
              <w:bottom w:val="single" w:sz="4" w:space="0" w:color="BFBFBF" w:themeColor="background1" w:themeShade="BF"/>
            </w:tcBorders>
            <w:shd w:val="clear" w:color="auto" w:fill="auto"/>
            <w:noWrap/>
            <w:vAlign w:val="bottom"/>
          </w:tcPr>
          <w:p w14:paraId="35A6EF88" w14:textId="265C4AB8" w:rsidR="00FA5A97" w:rsidRPr="00FE4F12" w:rsidRDefault="00FA5A97" w:rsidP="00FA5A97">
            <w:pPr>
              <w:jc w:val="center"/>
              <w:rPr>
                <w:rFonts w:ascii="Calibri" w:eastAsia="Times New Roman" w:hAnsi="Calibri" w:cs="Arial"/>
                <w:b/>
                <w:sz w:val="20"/>
                <w:szCs w:val="20"/>
              </w:rPr>
            </w:pPr>
            <w:r w:rsidRPr="00FE4F12">
              <w:rPr>
                <w:rFonts w:ascii="Calibri" w:eastAsia="Times New Roman" w:hAnsi="Calibri" w:cs="Arial"/>
                <w:b/>
                <w:sz w:val="20"/>
                <w:szCs w:val="20"/>
              </w:rPr>
              <w:t>24%</w:t>
            </w:r>
          </w:p>
        </w:tc>
      </w:tr>
    </w:tbl>
    <w:p w14:paraId="0DBBC551" w14:textId="77777777" w:rsidR="004547F7" w:rsidRPr="000635C0"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p>
    <w:p w14:paraId="778D61C1" w14:textId="77777777" w:rsidR="004547F7" w:rsidRPr="000635C0"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r w:rsidRPr="000635C0">
        <w:rPr>
          <w:rFonts w:ascii="Calibri" w:eastAsia="Franklin Gothic Book" w:hAnsi="Calibri" w:cs="Times New Roman"/>
          <w:noProof/>
          <w:sz w:val="20"/>
          <w:szCs w:val="24"/>
        </w:rPr>
        <w:drawing>
          <wp:inline distT="0" distB="0" distL="0" distR="0" wp14:anchorId="0B9DAD33" wp14:editId="7B007119">
            <wp:extent cx="6851176" cy="3370997"/>
            <wp:effectExtent l="0" t="0" r="6985"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EC2533" w14:textId="77777777" w:rsidR="004547F7" w:rsidRPr="000635C0" w:rsidRDefault="004547F7" w:rsidP="004547F7">
      <w:pPr>
        <w:autoSpaceDE w:val="0"/>
        <w:autoSpaceDN w:val="0"/>
        <w:adjustRightInd w:val="0"/>
        <w:rPr>
          <w:bCs/>
          <w:sz w:val="16"/>
          <w:szCs w:val="16"/>
        </w:rPr>
      </w:pPr>
    </w:p>
    <w:p w14:paraId="4F5BC136" w14:textId="77777777" w:rsidR="004547F7" w:rsidRPr="000635C0" w:rsidRDefault="004547F7" w:rsidP="004547F7">
      <w:pPr>
        <w:autoSpaceDE w:val="0"/>
        <w:autoSpaceDN w:val="0"/>
        <w:adjustRightInd w:val="0"/>
        <w:rPr>
          <w:bCs/>
          <w:sz w:val="16"/>
          <w:szCs w:val="16"/>
        </w:rPr>
      </w:pPr>
    </w:p>
    <w:p w14:paraId="0E100A7D" w14:textId="77777777" w:rsidR="004547F7" w:rsidRPr="000635C0" w:rsidRDefault="004547F7" w:rsidP="004547F7">
      <w:pPr>
        <w:autoSpaceDE w:val="0"/>
        <w:autoSpaceDN w:val="0"/>
        <w:adjustRightInd w:val="0"/>
        <w:rPr>
          <w:bCs/>
          <w:sz w:val="16"/>
          <w:szCs w:val="16"/>
        </w:rPr>
      </w:pPr>
      <w:r w:rsidRPr="000635C0">
        <w:rPr>
          <w:bCs/>
          <w:sz w:val="16"/>
          <w:szCs w:val="16"/>
        </w:rPr>
        <w:t>Source: CCCCO Data Mart 2.0 Basic Skills Tracker</w:t>
      </w:r>
    </w:p>
    <w:p w14:paraId="186F1708" w14:textId="77777777" w:rsidR="004547F7" w:rsidRPr="000635C0" w:rsidRDefault="004547F7" w:rsidP="004547F7">
      <w:pPr>
        <w:autoSpaceDE w:val="0"/>
        <w:autoSpaceDN w:val="0"/>
        <w:adjustRightInd w:val="0"/>
        <w:rPr>
          <w:bCs/>
          <w:sz w:val="16"/>
          <w:szCs w:val="16"/>
        </w:rPr>
      </w:pPr>
    </w:p>
    <w:p w14:paraId="5F6B5123" w14:textId="132526A6" w:rsidR="004547F7" w:rsidRPr="000635C0" w:rsidRDefault="004547F7" w:rsidP="004547F7">
      <w:r w:rsidRPr="000635C0">
        <w:br w:type="page"/>
      </w:r>
      <w:r w:rsidRPr="000635C0">
        <w:lastRenderedPageBreak/>
        <w:t>Orange Coast</w:t>
      </w:r>
    </w:p>
    <w:p w14:paraId="331498BD" w14:textId="31D2FE88" w:rsidR="004547F7" w:rsidRPr="00FE4F12" w:rsidRDefault="004547F7" w:rsidP="004547F7">
      <w:r w:rsidRPr="000635C0">
        <w:t xml:space="preserve">Over the past five cohorts tracked, Orange </w:t>
      </w:r>
      <w:r w:rsidRPr="00FE4F12">
        <w:t xml:space="preserve">Coast College ESL students beginning at two levels below college level in writing </w:t>
      </w:r>
      <w:r w:rsidR="00D16B58" w:rsidRPr="00FE4F12">
        <w:t>courses have success rates ranging from 83</w:t>
      </w:r>
      <w:r w:rsidRPr="00FE4F12">
        <w:t>% to 90%. However, the rates at the subsequent levels</w:t>
      </w:r>
      <w:r w:rsidR="00D16B58" w:rsidRPr="00FE4F12">
        <w:t xml:space="preserve"> have decreased (</w:t>
      </w:r>
      <w:r w:rsidR="00185F99" w:rsidRPr="00FE4F12">
        <w:t>64%</w:t>
      </w:r>
      <w:r w:rsidR="00D16B58" w:rsidRPr="00FE4F12">
        <w:t xml:space="preserve"> down to </w:t>
      </w:r>
      <w:r w:rsidR="00183266" w:rsidRPr="00FE4F12">
        <w:t>49%</w:t>
      </w:r>
      <w:r w:rsidR="00D16B58" w:rsidRPr="00FE4F12">
        <w:t xml:space="preserve"> and </w:t>
      </w:r>
      <w:r w:rsidR="00183266" w:rsidRPr="00FE4F12">
        <w:t>51%</w:t>
      </w:r>
      <w:r w:rsidR="00D16B58" w:rsidRPr="00FE4F12">
        <w:t xml:space="preserve"> down to 35</w:t>
      </w:r>
      <w:r w:rsidRPr="00FE4F12">
        <w:t>%).</w:t>
      </w:r>
    </w:p>
    <w:p w14:paraId="38344927" w14:textId="77777777" w:rsidR="004547F7" w:rsidRPr="000635C0" w:rsidRDefault="004547F7" w:rsidP="004547F7"/>
    <w:p w14:paraId="48E72360" w14:textId="77777777" w:rsidR="004547F7" w:rsidRPr="000635C0" w:rsidRDefault="004547F7" w:rsidP="004547F7">
      <w:pPr>
        <w:autoSpaceDE w:val="0"/>
        <w:autoSpaceDN w:val="0"/>
        <w:adjustRightInd w:val="0"/>
        <w:jc w:val="center"/>
        <w:rPr>
          <w:rFonts w:ascii="Arial" w:eastAsia="Franklin Gothic Book" w:hAnsi="Arial" w:cs="Arial"/>
          <w:b/>
          <w:bCs/>
          <w:sz w:val="20"/>
          <w:szCs w:val="20"/>
        </w:rPr>
      </w:pPr>
      <w:r w:rsidRPr="000635C0">
        <w:rPr>
          <w:rFonts w:ascii="Arial" w:eastAsia="Franklin Gothic Book" w:hAnsi="Arial" w:cs="Arial"/>
          <w:b/>
          <w:bCs/>
          <w:sz w:val="20"/>
          <w:szCs w:val="20"/>
        </w:rPr>
        <w:t>Orange Coast ESL Basic Skills (Writing) Students Progression to College Level within Two Years</w:t>
      </w:r>
    </w:p>
    <w:tbl>
      <w:tblPr>
        <w:tblW w:w="9850" w:type="dxa"/>
        <w:jc w:val="center"/>
        <w:tblCellMar>
          <w:left w:w="115" w:type="dxa"/>
          <w:right w:w="115" w:type="dxa"/>
        </w:tblCellMar>
        <w:tblLook w:val="04A0" w:firstRow="1" w:lastRow="0" w:firstColumn="1" w:lastColumn="0" w:noHBand="0" w:noVBand="1"/>
      </w:tblPr>
      <w:tblGrid>
        <w:gridCol w:w="2142"/>
        <w:gridCol w:w="1286"/>
        <w:gridCol w:w="1300"/>
        <w:gridCol w:w="1294"/>
        <w:gridCol w:w="1285"/>
        <w:gridCol w:w="1264"/>
        <w:gridCol w:w="1279"/>
      </w:tblGrid>
      <w:tr w:rsidR="004547F7" w:rsidRPr="000635C0" w14:paraId="7488A02F" w14:textId="77777777" w:rsidTr="004547F7">
        <w:trPr>
          <w:trHeight w:val="300"/>
          <w:jc w:val="center"/>
        </w:trPr>
        <w:tc>
          <w:tcPr>
            <w:tcW w:w="1064" w:type="pct"/>
            <w:tcBorders>
              <w:bottom w:val="single" w:sz="4" w:space="0" w:color="BFBFBF" w:themeColor="background1" w:themeShade="BF"/>
              <w:right w:val="single" w:sz="4" w:space="0" w:color="BFBFBF" w:themeColor="background1" w:themeShade="BF"/>
            </w:tcBorders>
            <w:shd w:val="clear" w:color="auto" w:fill="auto"/>
            <w:noWrap/>
            <w:vAlign w:val="bottom"/>
            <w:hideMark/>
          </w:tcPr>
          <w:p w14:paraId="6644FB48" w14:textId="77777777" w:rsidR="004547F7" w:rsidRPr="000635C0" w:rsidRDefault="004547F7" w:rsidP="004547F7">
            <w:pPr>
              <w:jc w:val="center"/>
              <w:rPr>
                <w:rFonts w:ascii="Calibri" w:eastAsia="Times New Roman" w:hAnsi="Calibri" w:cs="Arial"/>
                <w:b/>
                <w:bCs/>
                <w:sz w:val="20"/>
                <w:szCs w:val="20"/>
                <w:u w:val="thick"/>
              </w:rPr>
            </w:pPr>
            <w:r w:rsidRPr="000635C0">
              <w:rPr>
                <w:rFonts w:ascii="Calibri" w:eastAsia="Franklin Gothic Book" w:hAnsi="Calibri" w:cs="Arial"/>
                <w:b/>
                <w:bCs/>
                <w:sz w:val="20"/>
                <w:szCs w:val="20"/>
                <w:u w:val="thick"/>
              </w:rPr>
              <w:t>Orange Coast</w:t>
            </w:r>
          </w:p>
        </w:tc>
        <w:tc>
          <w:tcPr>
            <w:tcW w:w="1321"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F68D816" w14:textId="77777777" w:rsidR="004547F7" w:rsidRPr="000635C0" w:rsidRDefault="004547F7" w:rsidP="004547F7">
            <w:pPr>
              <w:jc w:val="center"/>
              <w:rPr>
                <w:rFonts w:ascii="Calibri" w:eastAsia="Times New Roman" w:hAnsi="Calibri" w:cs="Arial"/>
                <w:bCs/>
                <w:sz w:val="20"/>
                <w:szCs w:val="20"/>
              </w:rPr>
            </w:pPr>
            <w:r w:rsidRPr="000635C0">
              <w:rPr>
                <w:rFonts w:ascii="Calibri" w:eastAsia="Times New Roman" w:hAnsi="Calibri" w:cs="Arial"/>
                <w:bCs/>
                <w:sz w:val="20"/>
                <w:szCs w:val="20"/>
              </w:rPr>
              <w:t>Two Levels Below Transfer</w:t>
            </w:r>
          </w:p>
        </w:tc>
        <w:tc>
          <w:tcPr>
            <w:tcW w:w="1314"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436C983" w14:textId="77777777" w:rsidR="004547F7" w:rsidRPr="000635C0" w:rsidRDefault="004547F7" w:rsidP="004547F7">
            <w:pPr>
              <w:jc w:val="center"/>
              <w:rPr>
                <w:rFonts w:ascii="Calibri" w:eastAsia="Times New Roman" w:hAnsi="Calibri" w:cs="Arial"/>
                <w:bCs/>
                <w:sz w:val="20"/>
                <w:szCs w:val="20"/>
              </w:rPr>
            </w:pPr>
            <w:r w:rsidRPr="000635C0">
              <w:rPr>
                <w:rFonts w:ascii="Calibri" w:eastAsia="Times New Roman" w:hAnsi="Calibri" w:cs="Arial"/>
                <w:bCs/>
                <w:sz w:val="20"/>
                <w:szCs w:val="20"/>
              </w:rPr>
              <w:t>One Level Below Transfer</w:t>
            </w:r>
          </w:p>
        </w:tc>
        <w:tc>
          <w:tcPr>
            <w:tcW w:w="1301" w:type="pct"/>
            <w:gridSpan w:val="2"/>
            <w:tcBorders>
              <w:left w:val="single" w:sz="4" w:space="0" w:color="BFBFBF" w:themeColor="background1" w:themeShade="BF"/>
              <w:bottom w:val="single" w:sz="4" w:space="0" w:color="BFBFBF" w:themeColor="background1" w:themeShade="BF"/>
            </w:tcBorders>
            <w:shd w:val="clear" w:color="auto" w:fill="auto"/>
            <w:vAlign w:val="bottom"/>
          </w:tcPr>
          <w:p w14:paraId="74DD9ACD" w14:textId="77777777" w:rsidR="004547F7" w:rsidRPr="000635C0" w:rsidRDefault="004547F7" w:rsidP="004547F7">
            <w:pPr>
              <w:jc w:val="center"/>
              <w:rPr>
                <w:rFonts w:ascii="Calibri" w:eastAsia="Times New Roman" w:hAnsi="Calibri" w:cs="Arial"/>
                <w:bCs/>
                <w:sz w:val="20"/>
                <w:szCs w:val="20"/>
              </w:rPr>
            </w:pPr>
            <w:r w:rsidRPr="000635C0">
              <w:rPr>
                <w:rFonts w:ascii="Calibri" w:eastAsia="Times New Roman" w:hAnsi="Calibri" w:cs="Arial"/>
                <w:bCs/>
                <w:sz w:val="20"/>
                <w:szCs w:val="20"/>
              </w:rPr>
              <w:t>Transferable</w:t>
            </w:r>
          </w:p>
        </w:tc>
      </w:tr>
      <w:tr w:rsidR="004547F7" w:rsidRPr="000635C0" w14:paraId="447EB47A"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87612B3"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ESL/English Writing</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4B83EF6"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Students</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B54265A"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Success</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650335E"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Students</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DCF93D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Success</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F6747CB"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Students</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583A027F"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Success</w:t>
            </w:r>
          </w:p>
        </w:tc>
      </w:tr>
      <w:tr w:rsidR="004547F7" w:rsidRPr="000635C0" w14:paraId="227E5488"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0907496"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Fall 11    to    Spring 13</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30D57662"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73</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82B69EB"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62</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48B077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50</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4A9D7FD"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47</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2CFDF7F"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41</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5BBDFC21"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37</w:t>
            </w:r>
          </w:p>
        </w:tc>
      </w:tr>
      <w:tr w:rsidR="004547F7" w:rsidRPr="000635C0" w14:paraId="41A3B1DA"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37DB760"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8F0D323"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100%</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9E0C9D1"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85%</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FAB4A8A"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68%</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9577477"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64%</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B1BB507"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56%</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10FC7F13"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51%</w:t>
            </w:r>
          </w:p>
        </w:tc>
      </w:tr>
      <w:tr w:rsidR="004547F7" w:rsidRPr="000635C0" w14:paraId="2DA89339"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FEAC9A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Fall 12    to    Spring 14</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2D46836D"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55</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52CC731"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49</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1E24711"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32</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0CD2DB9"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28</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5A5FBDD0"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26</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2601C9D4"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23</w:t>
            </w:r>
          </w:p>
        </w:tc>
      </w:tr>
      <w:tr w:rsidR="004547F7" w:rsidRPr="000635C0" w14:paraId="3C810C21"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724B6F1"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168B0F19"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100%</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FCEF9DC"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89%</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2546D92"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58%</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BFC7599"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51%</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0F38364B"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47%</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7A878833"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42%</w:t>
            </w:r>
          </w:p>
        </w:tc>
      </w:tr>
      <w:tr w:rsidR="004547F7" w:rsidRPr="000635C0" w14:paraId="781D0CA4"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bottom"/>
          </w:tcPr>
          <w:p w14:paraId="3DBB34B7"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Fall 13    to    Spring 15</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51E22B71"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66</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CA97B8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57</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CF4859E"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43</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BB6D23F"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38</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FAC782D"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41</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168B468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40</w:t>
            </w:r>
          </w:p>
        </w:tc>
      </w:tr>
      <w:tr w:rsidR="004547F7" w:rsidRPr="000635C0" w14:paraId="10FA4796"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D7AF5DA"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13672DA"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100%</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0E0FA0C"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86%</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1E58AEF"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65%</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E0FADDE"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58%</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A8DFC9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62%</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441FBF4A"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61%</w:t>
            </w:r>
          </w:p>
        </w:tc>
      </w:tr>
      <w:tr w:rsidR="004547F7" w:rsidRPr="000635C0" w14:paraId="320B5B6E"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C9906D4"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Fall 14    to    Spring 16</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5A7DBD7"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72</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3A9A570"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65</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E3CADD4"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39</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68E56652"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37</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3933C7E"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40</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02848C69"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33</w:t>
            </w:r>
          </w:p>
        </w:tc>
      </w:tr>
      <w:tr w:rsidR="004547F7" w:rsidRPr="000635C0" w14:paraId="71149516"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78BF692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231ADA5"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100%</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6DF80DD"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90%</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75F63AB"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54%</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17F789A"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51%</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24291DA" w14:textId="77777777" w:rsidR="004547F7" w:rsidRPr="000635C0" w:rsidRDefault="004547F7" w:rsidP="004547F7">
            <w:pPr>
              <w:jc w:val="center"/>
              <w:rPr>
                <w:rFonts w:ascii="Calibri" w:eastAsia="Times New Roman" w:hAnsi="Calibri" w:cs="Arial"/>
                <w:sz w:val="20"/>
                <w:szCs w:val="20"/>
              </w:rPr>
            </w:pPr>
            <w:r w:rsidRPr="000635C0">
              <w:rPr>
                <w:rFonts w:ascii="Calibri" w:eastAsia="Times New Roman" w:hAnsi="Calibri" w:cs="Arial"/>
                <w:sz w:val="20"/>
                <w:szCs w:val="20"/>
              </w:rPr>
              <w:t>56%</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6EE20CDE" w14:textId="77777777" w:rsidR="004547F7" w:rsidRPr="000635C0" w:rsidRDefault="004547F7" w:rsidP="004547F7">
            <w:pPr>
              <w:jc w:val="center"/>
              <w:rPr>
                <w:rFonts w:ascii="Calibri" w:eastAsia="Times New Roman" w:hAnsi="Calibri" w:cs="Arial"/>
                <w:b/>
                <w:sz w:val="20"/>
                <w:szCs w:val="20"/>
              </w:rPr>
            </w:pPr>
            <w:r w:rsidRPr="000635C0">
              <w:rPr>
                <w:rFonts w:ascii="Calibri" w:eastAsia="Times New Roman" w:hAnsi="Calibri" w:cs="Arial"/>
                <w:b/>
                <w:sz w:val="20"/>
                <w:szCs w:val="20"/>
              </w:rPr>
              <w:t>46%</w:t>
            </w:r>
          </w:p>
        </w:tc>
      </w:tr>
      <w:tr w:rsidR="0071620D" w:rsidRPr="000635C0" w14:paraId="04F2167A"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E08B237" w14:textId="106DA735" w:rsidR="0071620D" w:rsidRPr="003803C2" w:rsidRDefault="0071620D" w:rsidP="000A74FA">
            <w:pPr>
              <w:jc w:val="center"/>
              <w:rPr>
                <w:rFonts w:ascii="Calibri" w:eastAsia="Times New Roman" w:hAnsi="Calibri" w:cs="Arial"/>
                <w:sz w:val="20"/>
                <w:szCs w:val="20"/>
              </w:rPr>
            </w:pPr>
            <w:r w:rsidRPr="003803C2">
              <w:rPr>
                <w:rFonts w:ascii="Calibri" w:eastAsia="Times New Roman" w:hAnsi="Calibri" w:cs="Arial"/>
                <w:sz w:val="20"/>
                <w:szCs w:val="20"/>
              </w:rPr>
              <w:t xml:space="preserve">Fall </w:t>
            </w:r>
            <w:r w:rsidR="000A74FA" w:rsidRPr="003803C2">
              <w:rPr>
                <w:rFonts w:ascii="Calibri" w:eastAsia="Times New Roman" w:hAnsi="Calibri" w:cs="Arial"/>
                <w:sz w:val="20"/>
                <w:szCs w:val="20"/>
              </w:rPr>
              <w:t xml:space="preserve"> 15    </w:t>
            </w:r>
            <w:r w:rsidRPr="003803C2">
              <w:rPr>
                <w:rFonts w:ascii="Calibri" w:eastAsia="Times New Roman" w:hAnsi="Calibri" w:cs="Arial"/>
                <w:sz w:val="20"/>
                <w:szCs w:val="20"/>
              </w:rPr>
              <w:t xml:space="preserve">to    Spring </w:t>
            </w:r>
            <w:r w:rsidR="000A74FA" w:rsidRPr="003803C2">
              <w:rPr>
                <w:rFonts w:ascii="Calibri" w:eastAsia="Times New Roman" w:hAnsi="Calibri" w:cs="Arial"/>
                <w:sz w:val="20"/>
                <w:szCs w:val="20"/>
              </w:rPr>
              <w:t xml:space="preserve"> 17</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0EA9E138" w14:textId="23E4C8EC" w:rsidR="0071620D" w:rsidRPr="003803C2" w:rsidRDefault="0071620D" w:rsidP="0071620D">
            <w:pPr>
              <w:jc w:val="center"/>
              <w:rPr>
                <w:rFonts w:ascii="Calibri" w:eastAsia="Times New Roman" w:hAnsi="Calibri" w:cs="Arial"/>
                <w:sz w:val="20"/>
                <w:szCs w:val="20"/>
              </w:rPr>
            </w:pPr>
            <w:r w:rsidRPr="003803C2">
              <w:rPr>
                <w:rFonts w:ascii="Calibri" w:eastAsia="Times New Roman" w:hAnsi="Calibri" w:cs="Arial"/>
                <w:sz w:val="20"/>
                <w:szCs w:val="20"/>
              </w:rPr>
              <w:t>75</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631D0C6" w14:textId="4936DEB8" w:rsidR="0071620D" w:rsidRPr="003803C2" w:rsidRDefault="0071620D" w:rsidP="0071620D">
            <w:pPr>
              <w:jc w:val="center"/>
              <w:rPr>
                <w:rFonts w:ascii="Calibri" w:eastAsia="Times New Roman" w:hAnsi="Calibri" w:cs="Arial"/>
                <w:b/>
                <w:sz w:val="20"/>
                <w:szCs w:val="20"/>
              </w:rPr>
            </w:pPr>
            <w:r w:rsidRPr="003803C2">
              <w:rPr>
                <w:rFonts w:ascii="Calibri" w:eastAsia="Times New Roman" w:hAnsi="Calibri" w:cs="Arial"/>
                <w:sz w:val="20"/>
                <w:szCs w:val="20"/>
              </w:rPr>
              <w:t>62</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02314F1" w14:textId="58C12DBD" w:rsidR="0071620D" w:rsidRPr="003803C2" w:rsidRDefault="0071620D" w:rsidP="0071620D">
            <w:pPr>
              <w:jc w:val="center"/>
              <w:rPr>
                <w:rFonts w:ascii="Calibri" w:eastAsia="Times New Roman" w:hAnsi="Calibri" w:cs="Arial"/>
                <w:sz w:val="20"/>
                <w:szCs w:val="20"/>
              </w:rPr>
            </w:pPr>
            <w:r w:rsidRPr="003803C2">
              <w:rPr>
                <w:rFonts w:ascii="Calibri" w:eastAsia="Times New Roman" w:hAnsi="Calibri" w:cs="Arial"/>
                <w:sz w:val="20"/>
                <w:szCs w:val="20"/>
              </w:rPr>
              <w:t>43</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3CE759A9" w14:textId="4B215AB8" w:rsidR="0071620D" w:rsidRPr="003803C2" w:rsidRDefault="0071620D" w:rsidP="0071620D">
            <w:pPr>
              <w:jc w:val="center"/>
              <w:rPr>
                <w:rFonts w:ascii="Calibri" w:eastAsia="Times New Roman" w:hAnsi="Calibri" w:cs="Arial"/>
                <w:b/>
                <w:sz w:val="20"/>
                <w:szCs w:val="20"/>
              </w:rPr>
            </w:pPr>
            <w:r w:rsidRPr="003803C2">
              <w:rPr>
                <w:rFonts w:ascii="Calibri" w:eastAsia="Times New Roman" w:hAnsi="Calibri" w:cs="Arial"/>
                <w:sz w:val="20"/>
                <w:szCs w:val="20"/>
              </w:rPr>
              <w:t>37</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26788C1" w14:textId="01224BBB" w:rsidR="0071620D" w:rsidRPr="003803C2" w:rsidRDefault="0071620D" w:rsidP="0071620D">
            <w:pPr>
              <w:jc w:val="center"/>
              <w:rPr>
                <w:rFonts w:ascii="Calibri" w:eastAsia="Times New Roman" w:hAnsi="Calibri" w:cs="Arial"/>
                <w:sz w:val="20"/>
                <w:szCs w:val="20"/>
              </w:rPr>
            </w:pPr>
            <w:r w:rsidRPr="003803C2">
              <w:rPr>
                <w:rFonts w:ascii="Calibri" w:eastAsia="Times New Roman" w:hAnsi="Calibri" w:cs="Arial"/>
                <w:sz w:val="20"/>
                <w:szCs w:val="20"/>
              </w:rPr>
              <w:t>31</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28F61E38" w14:textId="73D69493" w:rsidR="0071620D" w:rsidRPr="003803C2" w:rsidRDefault="0071620D" w:rsidP="0071620D">
            <w:pPr>
              <w:jc w:val="center"/>
              <w:rPr>
                <w:rFonts w:ascii="Calibri" w:eastAsia="Times New Roman" w:hAnsi="Calibri" w:cs="Arial"/>
                <w:b/>
                <w:sz w:val="20"/>
                <w:szCs w:val="20"/>
              </w:rPr>
            </w:pPr>
            <w:r w:rsidRPr="003803C2">
              <w:rPr>
                <w:rFonts w:ascii="Calibri" w:eastAsia="Times New Roman" w:hAnsi="Calibri" w:cs="Arial"/>
                <w:sz w:val="20"/>
                <w:szCs w:val="20"/>
              </w:rPr>
              <w:t>26</w:t>
            </w:r>
          </w:p>
        </w:tc>
      </w:tr>
      <w:tr w:rsidR="0071620D" w:rsidRPr="000635C0" w14:paraId="11277CA8" w14:textId="77777777" w:rsidTr="004547F7">
        <w:trPr>
          <w:trHeight w:val="300"/>
          <w:jc w:val="center"/>
        </w:trPr>
        <w:tc>
          <w:tcPr>
            <w:tcW w:w="10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3A65C33" w14:textId="7AE07309" w:rsidR="0071620D" w:rsidRPr="003803C2" w:rsidRDefault="0071620D" w:rsidP="0071620D">
            <w:pPr>
              <w:jc w:val="center"/>
              <w:rPr>
                <w:rFonts w:ascii="Calibri" w:eastAsia="Times New Roman" w:hAnsi="Calibri" w:cs="Arial"/>
                <w:sz w:val="20"/>
                <w:szCs w:val="20"/>
              </w:rPr>
            </w:pPr>
            <w:r w:rsidRPr="003803C2">
              <w:rPr>
                <w:rFonts w:ascii="Calibri" w:eastAsia="Times New Roman" w:hAnsi="Calibri" w:cs="Arial"/>
                <w:sz w:val="20"/>
                <w:szCs w:val="20"/>
              </w:rPr>
              <w:t>Percent of Cohort</w:t>
            </w:r>
          </w:p>
        </w:tc>
        <w:tc>
          <w:tcPr>
            <w:tcW w:w="65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02BCE44" w14:textId="1FAF1AE4" w:rsidR="0071620D" w:rsidRPr="003803C2" w:rsidRDefault="0071620D" w:rsidP="0071620D">
            <w:pPr>
              <w:jc w:val="center"/>
              <w:rPr>
                <w:rFonts w:ascii="Calibri" w:eastAsia="Times New Roman" w:hAnsi="Calibri" w:cs="Arial"/>
                <w:sz w:val="20"/>
                <w:szCs w:val="20"/>
              </w:rPr>
            </w:pPr>
            <w:r w:rsidRPr="003803C2">
              <w:rPr>
                <w:rFonts w:ascii="Calibri" w:eastAsia="Times New Roman" w:hAnsi="Calibri" w:cs="Arial"/>
                <w:sz w:val="20"/>
                <w:szCs w:val="20"/>
              </w:rPr>
              <w:t>100%</w:t>
            </w:r>
          </w:p>
        </w:tc>
        <w:tc>
          <w:tcPr>
            <w:tcW w:w="66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B94FA51" w14:textId="0EB205AF" w:rsidR="0071620D" w:rsidRPr="003803C2" w:rsidRDefault="0071620D" w:rsidP="0071620D">
            <w:pPr>
              <w:jc w:val="center"/>
              <w:rPr>
                <w:rFonts w:ascii="Calibri" w:eastAsia="Times New Roman" w:hAnsi="Calibri" w:cs="Arial"/>
                <w:b/>
                <w:sz w:val="20"/>
                <w:szCs w:val="20"/>
              </w:rPr>
            </w:pPr>
            <w:r w:rsidRPr="003803C2">
              <w:rPr>
                <w:rFonts w:ascii="Calibri" w:eastAsia="Times New Roman" w:hAnsi="Calibri" w:cs="Arial"/>
                <w:b/>
                <w:sz w:val="20"/>
                <w:szCs w:val="20"/>
              </w:rPr>
              <w:t>83%</w:t>
            </w:r>
          </w:p>
        </w:tc>
        <w:tc>
          <w:tcPr>
            <w:tcW w:w="66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D53D9C0" w14:textId="635A9396" w:rsidR="0071620D" w:rsidRPr="003803C2" w:rsidRDefault="0071620D" w:rsidP="0071620D">
            <w:pPr>
              <w:jc w:val="center"/>
              <w:rPr>
                <w:rFonts w:ascii="Calibri" w:eastAsia="Times New Roman" w:hAnsi="Calibri" w:cs="Arial"/>
                <w:sz w:val="20"/>
                <w:szCs w:val="20"/>
              </w:rPr>
            </w:pPr>
            <w:r w:rsidRPr="003803C2">
              <w:rPr>
                <w:rFonts w:ascii="Calibri" w:eastAsia="Times New Roman" w:hAnsi="Calibri" w:cs="Arial"/>
                <w:sz w:val="20"/>
                <w:szCs w:val="20"/>
              </w:rPr>
              <w:t>57%</w:t>
            </w:r>
          </w:p>
        </w:tc>
        <w:tc>
          <w:tcPr>
            <w:tcW w:w="65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4D5A346" w14:textId="2405B589" w:rsidR="0071620D" w:rsidRPr="003803C2" w:rsidRDefault="0071620D" w:rsidP="0071620D">
            <w:pPr>
              <w:jc w:val="center"/>
              <w:rPr>
                <w:rFonts w:ascii="Calibri" w:eastAsia="Times New Roman" w:hAnsi="Calibri" w:cs="Arial"/>
                <w:b/>
                <w:sz w:val="20"/>
                <w:szCs w:val="20"/>
              </w:rPr>
            </w:pPr>
            <w:r w:rsidRPr="003803C2">
              <w:rPr>
                <w:rFonts w:ascii="Calibri" w:eastAsia="Times New Roman" w:hAnsi="Calibri" w:cs="Arial"/>
                <w:b/>
                <w:sz w:val="20"/>
                <w:szCs w:val="20"/>
              </w:rPr>
              <w:t>49%</w:t>
            </w:r>
          </w:p>
        </w:tc>
        <w:tc>
          <w:tcPr>
            <w:tcW w:w="6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2E5661B" w14:textId="63DD3163" w:rsidR="0071620D" w:rsidRPr="003803C2" w:rsidRDefault="0071620D" w:rsidP="0071620D">
            <w:pPr>
              <w:jc w:val="center"/>
              <w:rPr>
                <w:rFonts w:ascii="Calibri" w:eastAsia="Times New Roman" w:hAnsi="Calibri" w:cs="Arial"/>
                <w:sz w:val="20"/>
                <w:szCs w:val="20"/>
              </w:rPr>
            </w:pPr>
            <w:r w:rsidRPr="003803C2">
              <w:rPr>
                <w:rFonts w:ascii="Calibri" w:eastAsia="Times New Roman" w:hAnsi="Calibri" w:cs="Arial"/>
                <w:sz w:val="20"/>
                <w:szCs w:val="20"/>
              </w:rPr>
              <w:t>41%</w:t>
            </w:r>
          </w:p>
        </w:tc>
        <w:tc>
          <w:tcPr>
            <w:tcW w:w="653" w:type="pct"/>
            <w:tcBorders>
              <w:top w:val="single" w:sz="4" w:space="0" w:color="BFBFBF" w:themeColor="background1" w:themeShade="BF"/>
              <w:bottom w:val="single" w:sz="4" w:space="0" w:color="BFBFBF" w:themeColor="background1" w:themeShade="BF"/>
            </w:tcBorders>
            <w:shd w:val="clear" w:color="auto" w:fill="auto"/>
            <w:noWrap/>
            <w:vAlign w:val="bottom"/>
          </w:tcPr>
          <w:p w14:paraId="158B040F" w14:textId="5BECC618" w:rsidR="0071620D" w:rsidRPr="003803C2" w:rsidRDefault="0071620D" w:rsidP="0071620D">
            <w:pPr>
              <w:jc w:val="center"/>
              <w:rPr>
                <w:rFonts w:ascii="Calibri" w:eastAsia="Times New Roman" w:hAnsi="Calibri" w:cs="Arial"/>
                <w:b/>
                <w:sz w:val="20"/>
                <w:szCs w:val="20"/>
              </w:rPr>
            </w:pPr>
            <w:r w:rsidRPr="003803C2">
              <w:rPr>
                <w:rFonts w:ascii="Calibri" w:eastAsia="Times New Roman" w:hAnsi="Calibri" w:cs="Arial"/>
                <w:b/>
                <w:sz w:val="20"/>
                <w:szCs w:val="20"/>
              </w:rPr>
              <w:t>35%</w:t>
            </w:r>
          </w:p>
        </w:tc>
      </w:tr>
    </w:tbl>
    <w:p w14:paraId="3DA85152" w14:textId="77777777" w:rsidR="004547F7" w:rsidRPr="000635C0"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p>
    <w:p w14:paraId="7D449904" w14:textId="77777777" w:rsidR="004547F7" w:rsidRPr="000635C0" w:rsidRDefault="004547F7" w:rsidP="004547F7">
      <w:pPr>
        <w:tabs>
          <w:tab w:val="left" w:leader="dot" w:pos="5738"/>
        </w:tabs>
        <w:autoSpaceDE w:val="0"/>
        <w:autoSpaceDN w:val="0"/>
        <w:adjustRightInd w:val="0"/>
        <w:jc w:val="center"/>
        <w:rPr>
          <w:rFonts w:ascii="Franklin Gothic Book" w:eastAsia="Franklin Gothic Book" w:hAnsi="Franklin Gothic Book" w:cs="Times New Roman"/>
        </w:rPr>
      </w:pPr>
      <w:r w:rsidRPr="000635C0">
        <w:rPr>
          <w:rFonts w:ascii="Calibri" w:eastAsia="Franklin Gothic Book" w:hAnsi="Calibri" w:cs="Times New Roman"/>
          <w:noProof/>
        </w:rPr>
        <w:drawing>
          <wp:inline distT="0" distB="0" distL="0" distR="0" wp14:anchorId="11CFFBFC" wp14:editId="1BB2B6B7">
            <wp:extent cx="6974006" cy="3370997"/>
            <wp:effectExtent l="0" t="0" r="0" b="12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AF33AD" w14:textId="77777777" w:rsidR="004547F7" w:rsidRPr="000635C0" w:rsidRDefault="004547F7" w:rsidP="004547F7">
      <w:pPr>
        <w:autoSpaceDE w:val="0"/>
        <w:autoSpaceDN w:val="0"/>
        <w:adjustRightInd w:val="0"/>
        <w:rPr>
          <w:rFonts w:ascii="Franklin Gothic Book" w:eastAsia="Franklin Gothic Book" w:hAnsi="Franklin Gothic Book" w:cs="Times New Roman"/>
          <w:bCs/>
          <w:sz w:val="16"/>
          <w:szCs w:val="16"/>
        </w:rPr>
      </w:pPr>
    </w:p>
    <w:p w14:paraId="1B5E4C31" w14:textId="77777777" w:rsidR="004547F7" w:rsidRPr="000635C0" w:rsidRDefault="004547F7" w:rsidP="004547F7">
      <w:pPr>
        <w:rPr>
          <w:bCs/>
          <w:sz w:val="16"/>
          <w:szCs w:val="16"/>
        </w:rPr>
      </w:pPr>
      <w:r w:rsidRPr="000635C0">
        <w:rPr>
          <w:bCs/>
          <w:sz w:val="16"/>
          <w:szCs w:val="16"/>
        </w:rPr>
        <w:t>Source: CCCCO Data Mart 2.0 Basic Skills Tracker</w:t>
      </w:r>
    </w:p>
    <w:p w14:paraId="506B2B54" w14:textId="77777777" w:rsidR="006A1CA4" w:rsidRPr="00B9364B" w:rsidRDefault="006A1CA4" w:rsidP="00EB4281">
      <w:pPr>
        <w:rPr>
          <w:color w:val="FF0000"/>
        </w:rPr>
      </w:pPr>
    </w:p>
    <w:p w14:paraId="315327C5" w14:textId="77777777" w:rsidR="004547F7" w:rsidRDefault="004547F7" w:rsidP="007E50D7">
      <w:pPr>
        <w:pStyle w:val="Heading2"/>
        <w:spacing w:before="0"/>
        <w:rPr>
          <w:color w:val="FF0000"/>
        </w:rPr>
      </w:pPr>
      <w:bookmarkStart w:id="45" w:name="_Toc341183226"/>
      <w:r>
        <w:rPr>
          <w:color w:val="FF0000"/>
        </w:rPr>
        <w:br w:type="page"/>
      </w:r>
    </w:p>
    <w:p w14:paraId="0F9D5EFD" w14:textId="27EFB082" w:rsidR="00446E51" w:rsidRPr="002B4CD0" w:rsidRDefault="00446E51" w:rsidP="007E50D7">
      <w:pPr>
        <w:pStyle w:val="Heading2"/>
        <w:spacing w:before="0"/>
        <w:rPr>
          <w:color w:val="auto"/>
        </w:rPr>
      </w:pPr>
      <w:bookmarkStart w:id="46" w:name="_Toc506217404"/>
      <w:r w:rsidRPr="002B4CD0">
        <w:rPr>
          <w:color w:val="auto"/>
        </w:rPr>
        <w:lastRenderedPageBreak/>
        <w:t>Semester and Cumulative GPA of Full-Time Students</w:t>
      </w:r>
      <w:bookmarkEnd w:id="45"/>
      <w:bookmarkEnd w:id="46"/>
    </w:p>
    <w:p w14:paraId="049308EC" w14:textId="77777777" w:rsidR="007E50D7" w:rsidRPr="002B4CD0" w:rsidRDefault="007E50D7" w:rsidP="007E50D7"/>
    <w:p w14:paraId="0F9D5EFF" w14:textId="745644F4" w:rsidR="003E6D05" w:rsidRPr="003803C2" w:rsidRDefault="00446E51" w:rsidP="001A247B">
      <w:pPr>
        <w:autoSpaceDE w:val="0"/>
        <w:autoSpaceDN w:val="0"/>
        <w:adjustRightInd w:val="0"/>
      </w:pPr>
      <w:r w:rsidRPr="003803C2">
        <w:t xml:space="preserve">The average semester </w:t>
      </w:r>
      <w:r w:rsidR="00DF6D06" w:rsidRPr="003803C2">
        <w:t>and cumulative GPA</w:t>
      </w:r>
      <w:r w:rsidRPr="003803C2">
        <w:t xml:space="preserve"> of full-time students </w:t>
      </w:r>
      <w:r w:rsidR="008331B9" w:rsidRPr="003803C2">
        <w:t xml:space="preserve">increased slightly for Coastline and </w:t>
      </w:r>
      <w:r w:rsidR="00397C74" w:rsidRPr="003803C2">
        <w:t xml:space="preserve">decreased slightly </w:t>
      </w:r>
      <w:r w:rsidR="008331B9" w:rsidRPr="003803C2">
        <w:t xml:space="preserve">for Golden West and Orange Coast </w:t>
      </w:r>
      <w:r w:rsidR="00397C74" w:rsidRPr="003803C2">
        <w:t>from fall 2012 to fall 2016</w:t>
      </w:r>
      <w:r w:rsidR="002B4CD0" w:rsidRPr="003803C2">
        <w:t xml:space="preserve">.  </w:t>
      </w:r>
    </w:p>
    <w:p w14:paraId="62338544" w14:textId="77777777" w:rsidR="007E50D7" w:rsidRPr="00B9364B" w:rsidRDefault="007E50D7" w:rsidP="00585846">
      <w:pPr>
        <w:autoSpaceDE w:val="0"/>
        <w:autoSpaceDN w:val="0"/>
        <w:adjustRightInd w:val="0"/>
        <w:rPr>
          <w:color w:val="FF0000"/>
        </w:rPr>
      </w:pPr>
    </w:p>
    <w:p w14:paraId="4FA2EBBB" w14:textId="77777777" w:rsidR="00923F3E" w:rsidRPr="00B9364B" w:rsidRDefault="00923F3E" w:rsidP="00585846">
      <w:pPr>
        <w:autoSpaceDE w:val="0"/>
        <w:autoSpaceDN w:val="0"/>
        <w:adjustRightInd w:val="0"/>
        <w:rPr>
          <w:color w:val="FF0000"/>
        </w:rPr>
      </w:pPr>
    </w:p>
    <w:p w14:paraId="0F9D5F06" w14:textId="75F38081" w:rsidR="00446E51" w:rsidRPr="008257DB" w:rsidRDefault="00B848BC" w:rsidP="00585846">
      <w:pPr>
        <w:autoSpaceDE w:val="0"/>
        <w:autoSpaceDN w:val="0"/>
        <w:adjustRightInd w:val="0"/>
        <w:jc w:val="center"/>
        <w:rPr>
          <w:rFonts w:ascii="Calibri" w:hAnsi="Calibri"/>
          <w:b/>
          <w:bCs/>
          <w:sz w:val="24"/>
          <w:szCs w:val="24"/>
        </w:rPr>
      </w:pPr>
      <w:r w:rsidRPr="008257DB">
        <w:rPr>
          <w:rFonts w:ascii="Calibri" w:hAnsi="Calibri"/>
          <w:b/>
          <w:bCs/>
          <w:sz w:val="24"/>
          <w:szCs w:val="24"/>
        </w:rPr>
        <w:t xml:space="preserve">Average </w:t>
      </w:r>
      <w:r w:rsidR="00446E51" w:rsidRPr="008257DB">
        <w:rPr>
          <w:rFonts w:ascii="Calibri" w:hAnsi="Calibri"/>
          <w:b/>
          <w:bCs/>
          <w:sz w:val="24"/>
          <w:szCs w:val="24"/>
        </w:rPr>
        <w:t>Semes</w:t>
      </w:r>
      <w:r w:rsidR="00E836BB" w:rsidRPr="008257DB">
        <w:rPr>
          <w:rFonts w:ascii="Calibri" w:hAnsi="Calibri"/>
          <w:b/>
          <w:bCs/>
          <w:sz w:val="24"/>
          <w:szCs w:val="24"/>
        </w:rPr>
        <w:t>ter and Cumulative GPA of Full-T</w:t>
      </w:r>
      <w:r w:rsidR="00446E51" w:rsidRPr="008257DB">
        <w:rPr>
          <w:rFonts w:ascii="Calibri" w:hAnsi="Calibri"/>
          <w:b/>
          <w:bCs/>
          <w:sz w:val="24"/>
          <w:szCs w:val="24"/>
        </w:rPr>
        <w:t>ime Students</w:t>
      </w:r>
    </w:p>
    <w:tbl>
      <w:tblPr>
        <w:tblW w:w="6580" w:type="dxa"/>
        <w:jc w:val="center"/>
        <w:tblLook w:val="04A0" w:firstRow="1" w:lastRow="0" w:firstColumn="1" w:lastColumn="0" w:noHBand="0" w:noVBand="1"/>
      </w:tblPr>
      <w:tblGrid>
        <w:gridCol w:w="1780"/>
        <w:gridCol w:w="960"/>
        <w:gridCol w:w="960"/>
        <w:gridCol w:w="960"/>
        <w:gridCol w:w="960"/>
        <w:gridCol w:w="960"/>
      </w:tblGrid>
      <w:tr w:rsidR="008257DB" w:rsidRPr="008257DB" w14:paraId="1FA4551D" w14:textId="532474C6" w:rsidTr="002E676C">
        <w:trPr>
          <w:trHeight w:val="330"/>
          <w:jc w:val="center"/>
        </w:trPr>
        <w:tc>
          <w:tcPr>
            <w:tcW w:w="1780" w:type="dxa"/>
            <w:tcBorders>
              <w:top w:val="nil"/>
              <w:left w:val="nil"/>
              <w:right w:val="nil"/>
            </w:tcBorders>
            <w:shd w:val="clear" w:color="auto" w:fill="auto"/>
            <w:noWrap/>
            <w:vAlign w:val="bottom"/>
            <w:hideMark/>
          </w:tcPr>
          <w:p w14:paraId="545BF15E" w14:textId="0ACA2E72" w:rsidR="008917D9" w:rsidRPr="008257DB" w:rsidRDefault="008917D9" w:rsidP="008917D9">
            <w:pPr>
              <w:spacing w:line="240" w:lineRule="auto"/>
              <w:rPr>
                <w:rFonts w:ascii="Times New Roman" w:eastAsia="Times New Roman" w:hAnsi="Times New Roman" w:cs="Times New Roman"/>
                <w:sz w:val="24"/>
                <w:szCs w:val="24"/>
              </w:rPr>
            </w:pPr>
            <w:r w:rsidRPr="008257DB">
              <w:rPr>
                <w:rFonts w:ascii="Calibri" w:eastAsia="Times New Roman" w:hAnsi="Calibri" w:cs="Times New Roman"/>
                <w:b/>
                <w:bCs/>
                <w:sz w:val="24"/>
                <w:szCs w:val="24"/>
              </w:rPr>
              <w:t>GPA</w:t>
            </w:r>
          </w:p>
        </w:tc>
        <w:tc>
          <w:tcPr>
            <w:tcW w:w="960" w:type="dxa"/>
            <w:tcBorders>
              <w:top w:val="nil"/>
              <w:left w:val="nil"/>
              <w:bottom w:val="single" w:sz="4" w:space="0" w:color="auto"/>
              <w:right w:val="nil"/>
            </w:tcBorders>
            <w:shd w:val="clear" w:color="auto" w:fill="auto"/>
            <w:noWrap/>
            <w:vAlign w:val="center"/>
            <w:hideMark/>
          </w:tcPr>
          <w:p w14:paraId="5E2E6E9F" w14:textId="7F7BC8B1" w:rsidR="008917D9" w:rsidRPr="008257DB" w:rsidRDefault="00BB7E14" w:rsidP="00EE3A6D">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Fall 12</w:t>
            </w:r>
          </w:p>
        </w:tc>
        <w:tc>
          <w:tcPr>
            <w:tcW w:w="960" w:type="dxa"/>
            <w:tcBorders>
              <w:top w:val="nil"/>
              <w:left w:val="nil"/>
              <w:bottom w:val="single" w:sz="4" w:space="0" w:color="auto"/>
              <w:right w:val="nil"/>
            </w:tcBorders>
            <w:shd w:val="clear" w:color="auto" w:fill="auto"/>
            <w:noWrap/>
            <w:vAlign w:val="center"/>
            <w:hideMark/>
          </w:tcPr>
          <w:p w14:paraId="3656A660" w14:textId="16A7BC10" w:rsidR="008917D9" w:rsidRPr="008257DB" w:rsidRDefault="00BB7E14" w:rsidP="00EE3A6D">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Fall 13</w:t>
            </w:r>
          </w:p>
        </w:tc>
        <w:tc>
          <w:tcPr>
            <w:tcW w:w="960" w:type="dxa"/>
            <w:tcBorders>
              <w:top w:val="nil"/>
              <w:left w:val="nil"/>
              <w:bottom w:val="single" w:sz="4" w:space="0" w:color="auto"/>
              <w:right w:val="nil"/>
            </w:tcBorders>
            <w:shd w:val="clear" w:color="auto" w:fill="auto"/>
            <w:noWrap/>
            <w:vAlign w:val="center"/>
            <w:hideMark/>
          </w:tcPr>
          <w:p w14:paraId="353977D5" w14:textId="020E7405" w:rsidR="008917D9" w:rsidRPr="008257DB" w:rsidRDefault="00BB7E14" w:rsidP="00EE3A6D">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Fall 14</w:t>
            </w:r>
          </w:p>
        </w:tc>
        <w:tc>
          <w:tcPr>
            <w:tcW w:w="960" w:type="dxa"/>
            <w:tcBorders>
              <w:top w:val="nil"/>
              <w:left w:val="nil"/>
              <w:bottom w:val="single" w:sz="4" w:space="0" w:color="auto"/>
              <w:right w:val="nil"/>
            </w:tcBorders>
            <w:shd w:val="clear" w:color="auto" w:fill="auto"/>
            <w:noWrap/>
            <w:hideMark/>
          </w:tcPr>
          <w:p w14:paraId="78B700BD" w14:textId="707690C8" w:rsidR="008917D9" w:rsidRPr="008257DB" w:rsidRDefault="008917D9" w:rsidP="00EE3A6D">
            <w:pPr>
              <w:spacing w:line="240" w:lineRule="auto"/>
              <w:jc w:val="right"/>
              <w:rPr>
                <w:rFonts w:ascii="Calibri" w:eastAsia="Times New Roman" w:hAnsi="Calibri" w:cs="Times New Roman"/>
                <w:sz w:val="24"/>
                <w:szCs w:val="24"/>
              </w:rPr>
            </w:pPr>
            <w:r w:rsidRPr="008257DB">
              <w:rPr>
                <w:rFonts w:ascii="Calibri" w:eastAsia="Times New Roman" w:hAnsi="Calibri" w:cs="Times New Roman"/>
                <w:sz w:val="24"/>
                <w:szCs w:val="24"/>
              </w:rPr>
              <w:t>Fall 1</w:t>
            </w:r>
            <w:r w:rsidR="00BB7E14">
              <w:rPr>
                <w:rFonts w:ascii="Calibri" w:eastAsia="Times New Roman" w:hAnsi="Calibri" w:cs="Times New Roman"/>
                <w:sz w:val="24"/>
                <w:szCs w:val="24"/>
              </w:rPr>
              <w:t>5</w:t>
            </w:r>
          </w:p>
        </w:tc>
        <w:tc>
          <w:tcPr>
            <w:tcW w:w="960" w:type="dxa"/>
            <w:tcBorders>
              <w:top w:val="nil"/>
              <w:left w:val="nil"/>
              <w:bottom w:val="single" w:sz="4" w:space="0" w:color="auto"/>
              <w:right w:val="nil"/>
            </w:tcBorders>
          </w:tcPr>
          <w:p w14:paraId="38A0B1C9" w14:textId="075963CA" w:rsidR="008917D9" w:rsidRPr="008257DB" w:rsidRDefault="00BB7E14" w:rsidP="00EE3A6D">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Fall 16</w:t>
            </w:r>
          </w:p>
        </w:tc>
      </w:tr>
      <w:tr w:rsidR="008257DB" w:rsidRPr="008257DB" w14:paraId="42683062" w14:textId="0036FA26" w:rsidTr="002E676C">
        <w:trPr>
          <w:trHeight w:hRule="exact" w:val="330"/>
          <w:jc w:val="center"/>
        </w:trPr>
        <w:tc>
          <w:tcPr>
            <w:tcW w:w="1780" w:type="dxa"/>
            <w:tcBorders>
              <w:top w:val="nil"/>
              <w:left w:val="nil"/>
              <w:right w:val="nil"/>
            </w:tcBorders>
            <w:shd w:val="clear" w:color="000000" w:fill="B8CCE4"/>
            <w:noWrap/>
            <w:vAlign w:val="center"/>
            <w:hideMark/>
          </w:tcPr>
          <w:p w14:paraId="7E61F626" w14:textId="77777777" w:rsidR="008917D9" w:rsidRPr="008257DB" w:rsidRDefault="008917D9" w:rsidP="008917D9">
            <w:pPr>
              <w:spacing w:line="240" w:lineRule="auto"/>
              <w:jc w:val="center"/>
              <w:rPr>
                <w:rFonts w:ascii="Calibri" w:eastAsia="Times New Roman" w:hAnsi="Calibri" w:cs="Times New Roman"/>
                <w:sz w:val="24"/>
                <w:szCs w:val="24"/>
              </w:rPr>
            </w:pPr>
            <w:r w:rsidRPr="008257DB">
              <w:rPr>
                <w:rFonts w:ascii="Calibri" w:eastAsia="Times New Roman" w:hAnsi="Calibri" w:cs="Times New Roman"/>
                <w:sz w:val="24"/>
                <w:szCs w:val="24"/>
              </w:rPr>
              <w:t>Coastline</w:t>
            </w:r>
          </w:p>
        </w:tc>
        <w:tc>
          <w:tcPr>
            <w:tcW w:w="960" w:type="dxa"/>
            <w:tcBorders>
              <w:top w:val="single" w:sz="4" w:space="0" w:color="auto"/>
              <w:left w:val="nil"/>
              <w:right w:val="nil"/>
            </w:tcBorders>
            <w:shd w:val="clear" w:color="auto" w:fill="auto"/>
            <w:noWrap/>
            <w:vAlign w:val="bottom"/>
            <w:hideMark/>
          </w:tcPr>
          <w:p w14:paraId="4E7E51E4" w14:textId="77777777" w:rsidR="008917D9" w:rsidRPr="008257DB" w:rsidRDefault="008917D9" w:rsidP="008917D9">
            <w:pPr>
              <w:spacing w:line="240" w:lineRule="auto"/>
              <w:rPr>
                <w:rFonts w:ascii="Times New Roman" w:eastAsia="Times New Roman" w:hAnsi="Times New Roman" w:cs="Times New Roman"/>
                <w:sz w:val="20"/>
                <w:szCs w:val="20"/>
              </w:rPr>
            </w:pPr>
          </w:p>
        </w:tc>
        <w:tc>
          <w:tcPr>
            <w:tcW w:w="960" w:type="dxa"/>
            <w:tcBorders>
              <w:top w:val="single" w:sz="4" w:space="0" w:color="auto"/>
              <w:left w:val="nil"/>
              <w:right w:val="nil"/>
            </w:tcBorders>
            <w:shd w:val="clear" w:color="auto" w:fill="auto"/>
            <w:noWrap/>
            <w:vAlign w:val="bottom"/>
            <w:hideMark/>
          </w:tcPr>
          <w:p w14:paraId="5F186D65" w14:textId="77777777" w:rsidR="008917D9" w:rsidRPr="008257DB" w:rsidRDefault="008917D9" w:rsidP="008917D9">
            <w:pPr>
              <w:spacing w:line="240" w:lineRule="auto"/>
              <w:rPr>
                <w:rFonts w:ascii="Times New Roman" w:eastAsia="Times New Roman" w:hAnsi="Times New Roman" w:cs="Times New Roman"/>
                <w:sz w:val="20"/>
                <w:szCs w:val="20"/>
              </w:rPr>
            </w:pPr>
          </w:p>
        </w:tc>
        <w:tc>
          <w:tcPr>
            <w:tcW w:w="960" w:type="dxa"/>
            <w:tcBorders>
              <w:top w:val="single" w:sz="4" w:space="0" w:color="auto"/>
              <w:left w:val="nil"/>
              <w:right w:val="nil"/>
            </w:tcBorders>
            <w:shd w:val="clear" w:color="auto" w:fill="auto"/>
            <w:noWrap/>
            <w:vAlign w:val="bottom"/>
            <w:hideMark/>
          </w:tcPr>
          <w:p w14:paraId="4729A62A" w14:textId="77777777" w:rsidR="008917D9" w:rsidRPr="008257DB" w:rsidRDefault="008917D9" w:rsidP="008917D9">
            <w:pPr>
              <w:spacing w:line="240" w:lineRule="auto"/>
              <w:rPr>
                <w:rFonts w:ascii="Times New Roman" w:eastAsia="Times New Roman" w:hAnsi="Times New Roman" w:cs="Times New Roman"/>
                <w:sz w:val="20"/>
                <w:szCs w:val="20"/>
              </w:rPr>
            </w:pPr>
          </w:p>
        </w:tc>
        <w:tc>
          <w:tcPr>
            <w:tcW w:w="960" w:type="dxa"/>
            <w:tcBorders>
              <w:top w:val="single" w:sz="4" w:space="0" w:color="auto"/>
              <w:left w:val="nil"/>
              <w:right w:val="nil"/>
            </w:tcBorders>
            <w:shd w:val="clear" w:color="auto" w:fill="auto"/>
            <w:noWrap/>
            <w:hideMark/>
          </w:tcPr>
          <w:p w14:paraId="23D8775F" w14:textId="77777777" w:rsidR="008917D9" w:rsidRPr="008257DB" w:rsidRDefault="008917D9" w:rsidP="008917D9">
            <w:pPr>
              <w:spacing w:line="240" w:lineRule="auto"/>
              <w:rPr>
                <w:rFonts w:ascii="Times New Roman" w:eastAsia="Times New Roman" w:hAnsi="Times New Roman" w:cs="Times New Roman"/>
                <w:sz w:val="20"/>
                <w:szCs w:val="20"/>
              </w:rPr>
            </w:pPr>
          </w:p>
        </w:tc>
        <w:tc>
          <w:tcPr>
            <w:tcW w:w="960" w:type="dxa"/>
            <w:tcBorders>
              <w:top w:val="single" w:sz="4" w:space="0" w:color="auto"/>
              <w:left w:val="nil"/>
              <w:right w:val="nil"/>
            </w:tcBorders>
          </w:tcPr>
          <w:p w14:paraId="58273003" w14:textId="77777777" w:rsidR="008917D9" w:rsidRPr="008257DB" w:rsidRDefault="008917D9" w:rsidP="008917D9">
            <w:pPr>
              <w:spacing w:line="240" w:lineRule="auto"/>
              <w:rPr>
                <w:rFonts w:ascii="Times New Roman" w:eastAsia="Times New Roman" w:hAnsi="Times New Roman" w:cs="Times New Roman"/>
                <w:sz w:val="20"/>
                <w:szCs w:val="20"/>
              </w:rPr>
            </w:pPr>
          </w:p>
        </w:tc>
      </w:tr>
      <w:tr w:rsidR="008257DB" w:rsidRPr="008257DB" w14:paraId="11A869A0" w14:textId="64B71381" w:rsidTr="002E676C">
        <w:trPr>
          <w:trHeight w:hRule="exact" w:val="330"/>
          <w:jc w:val="center"/>
        </w:trPr>
        <w:tc>
          <w:tcPr>
            <w:tcW w:w="1780" w:type="dxa"/>
            <w:tcBorders>
              <w:left w:val="nil"/>
              <w:right w:val="nil"/>
            </w:tcBorders>
            <w:shd w:val="clear" w:color="auto" w:fill="auto"/>
            <w:noWrap/>
            <w:vAlign w:val="center"/>
            <w:hideMark/>
          </w:tcPr>
          <w:p w14:paraId="3214F446" w14:textId="3CF17E6F" w:rsidR="008917D9" w:rsidRPr="008257DB" w:rsidRDefault="008917D9" w:rsidP="008917D9">
            <w:pPr>
              <w:spacing w:line="240" w:lineRule="auto"/>
              <w:jc w:val="center"/>
              <w:rPr>
                <w:rFonts w:ascii="Calibri" w:eastAsia="Times New Roman" w:hAnsi="Calibri" w:cs="Times New Roman"/>
                <w:bCs/>
                <w:sz w:val="24"/>
                <w:szCs w:val="24"/>
              </w:rPr>
            </w:pPr>
            <w:r w:rsidRPr="008257DB">
              <w:rPr>
                <w:rFonts w:ascii="Calibri" w:eastAsia="Times New Roman" w:hAnsi="Calibri" w:cs="Times New Roman"/>
                <w:bCs/>
                <w:sz w:val="24"/>
                <w:szCs w:val="24"/>
              </w:rPr>
              <w:t>Semester</w:t>
            </w:r>
          </w:p>
        </w:tc>
        <w:tc>
          <w:tcPr>
            <w:tcW w:w="960" w:type="dxa"/>
            <w:tcBorders>
              <w:left w:val="nil"/>
              <w:right w:val="nil"/>
            </w:tcBorders>
            <w:shd w:val="clear" w:color="auto" w:fill="auto"/>
            <w:noWrap/>
            <w:vAlign w:val="center"/>
            <w:hideMark/>
          </w:tcPr>
          <w:p w14:paraId="3BC94924" w14:textId="455D7B94"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2.76</w:t>
            </w:r>
          </w:p>
        </w:tc>
        <w:tc>
          <w:tcPr>
            <w:tcW w:w="960" w:type="dxa"/>
            <w:tcBorders>
              <w:left w:val="nil"/>
              <w:right w:val="nil"/>
            </w:tcBorders>
            <w:shd w:val="clear" w:color="auto" w:fill="auto"/>
            <w:noWrap/>
            <w:vAlign w:val="center"/>
            <w:hideMark/>
          </w:tcPr>
          <w:p w14:paraId="3407C4D1" w14:textId="59B44430"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2.7</w:t>
            </w:r>
            <w:r w:rsidR="00AD5C86">
              <w:rPr>
                <w:rFonts w:ascii="Calibri" w:eastAsia="Times New Roman" w:hAnsi="Calibri" w:cs="Times New Roman"/>
                <w:sz w:val="24"/>
                <w:szCs w:val="24"/>
              </w:rPr>
              <w:t>7</w:t>
            </w:r>
          </w:p>
        </w:tc>
        <w:tc>
          <w:tcPr>
            <w:tcW w:w="960" w:type="dxa"/>
            <w:tcBorders>
              <w:left w:val="nil"/>
              <w:right w:val="nil"/>
            </w:tcBorders>
            <w:shd w:val="clear" w:color="auto" w:fill="auto"/>
            <w:noWrap/>
            <w:vAlign w:val="center"/>
            <w:hideMark/>
          </w:tcPr>
          <w:p w14:paraId="29165E7E" w14:textId="73A8DE85"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2.7</w:t>
            </w:r>
            <w:r w:rsidR="00AD5C86">
              <w:rPr>
                <w:rFonts w:ascii="Calibri" w:eastAsia="Times New Roman" w:hAnsi="Calibri" w:cs="Times New Roman"/>
                <w:sz w:val="24"/>
                <w:szCs w:val="24"/>
              </w:rPr>
              <w:t>6</w:t>
            </w:r>
          </w:p>
        </w:tc>
        <w:tc>
          <w:tcPr>
            <w:tcW w:w="960" w:type="dxa"/>
            <w:tcBorders>
              <w:left w:val="nil"/>
              <w:right w:val="nil"/>
            </w:tcBorders>
            <w:shd w:val="clear" w:color="auto" w:fill="auto"/>
            <w:noWrap/>
            <w:hideMark/>
          </w:tcPr>
          <w:p w14:paraId="5A33D612" w14:textId="306D828A"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w:t>
            </w:r>
            <w:r w:rsidR="00AD5C86">
              <w:rPr>
                <w:rFonts w:ascii="Calibri" w:eastAsia="Times New Roman" w:hAnsi="Calibri" w:cs="Times New Roman"/>
                <w:sz w:val="24"/>
                <w:szCs w:val="24"/>
              </w:rPr>
              <w:t>7</w:t>
            </w:r>
          </w:p>
        </w:tc>
        <w:tc>
          <w:tcPr>
            <w:tcW w:w="960" w:type="dxa"/>
            <w:tcBorders>
              <w:left w:val="nil"/>
              <w:right w:val="nil"/>
            </w:tcBorders>
          </w:tcPr>
          <w:p w14:paraId="5E7438B1" w14:textId="7435A319"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w:t>
            </w:r>
            <w:r w:rsidR="00AD5C86">
              <w:rPr>
                <w:rFonts w:ascii="Calibri" w:eastAsia="Times New Roman" w:hAnsi="Calibri" w:cs="Times New Roman"/>
                <w:sz w:val="24"/>
                <w:szCs w:val="24"/>
              </w:rPr>
              <w:t>7</w:t>
            </w:r>
          </w:p>
        </w:tc>
      </w:tr>
      <w:tr w:rsidR="008257DB" w:rsidRPr="008257DB" w14:paraId="3D073380" w14:textId="36F896CF" w:rsidTr="002E676C">
        <w:trPr>
          <w:trHeight w:hRule="exact" w:val="330"/>
          <w:jc w:val="center"/>
        </w:trPr>
        <w:tc>
          <w:tcPr>
            <w:tcW w:w="1780" w:type="dxa"/>
            <w:tcBorders>
              <w:top w:val="nil"/>
              <w:left w:val="nil"/>
              <w:right w:val="nil"/>
            </w:tcBorders>
            <w:shd w:val="clear" w:color="auto" w:fill="auto"/>
            <w:noWrap/>
            <w:vAlign w:val="center"/>
            <w:hideMark/>
          </w:tcPr>
          <w:p w14:paraId="04E8E6FC" w14:textId="382E7AE0" w:rsidR="008917D9" w:rsidRPr="008257DB" w:rsidRDefault="008917D9" w:rsidP="008917D9">
            <w:pPr>
              <w:spacing w:line="240" w:lineRule="auto"/>
              <w:jc w:val="center"/>
              <w:rPr>
                <w:rFonts w:ascii="Calibri" w:eastAsia="Times New Roman" w:hAnsi="Calibri" w:cs="Times New Roman"/>
                <w:bCs/>
                <w:sz w:val="24"/>
                <w:szCs w:val="24"/>
              </w:rPr>
            </w:pPr>
            <w:r w:rsidRPr="008257DB">
              <w:rPr>
                <w:rFonts w:ascii="Calibri" w:eastAsia="Times New Roman" w:hAnsi="Calibri" w:cs="Times New Roman"/>
                <w:bCs/>
                <w:sz w:val="24"/>
                <w:szCs w:val="24"/>
              </w:rPr>
              <w:t>Cumulative</w:t>
            </w:r>
          </w:p>
        </w:tc>
        <w:tc>
          <w:tcPr>
            <w:tcW w:w="960" w:type="dxa"/>
            <w:tcBorders>
              <w:top w:val="nil"/>
              <w:left w:val="nil"/>
              <w:right w:val="nil"/>
            </w:tcBorders>
            <w:shd w:val="clear" w:color="auto" w:fill="auto"/>
            <w:noWrap/>
            <w:vAlign w:val="center"/>
            <w:hideMark/>
          </w:tcPr>
          <w:p w14:paraId="61D41C0C" w14:textId="3F858C7B"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2.94</w:t>
            </w:r>
          </w:p>
        </w:tc>
        <w:tc>
          <w:tcPr>
            <w:tcW w:w="960" w:type="dxa"/>
            <w:tcBorders>
              <w:top w:val="nil"/>
              <w:left w:val="nil"/>
              <w:right w:val="nil"/>
            </w:tcBorders>
            <w:shd w:val="clear" w:color="auto" w:fill="auto"/>
            <w:noWrap/>
            <w:vAlign w:val="center"/>
            <w:hideMark/>
          </w:tcPr>
          <w:p w14:paraId="2144DFD6" w14:textId="768259B8"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2.92</w:t>
            </w:r>
          </w:p>
        </w:tc>
        <w:tc>
          <w:tcPr>
            <w:tcW w:w="960" w:type="dxa"/>
            <w:tcBorders>
              <w:top w:val="nil"/>
              <w:left w:val="nil"/>
              <w:right w:val="nil"/>
            </w:tcBorders>
            <w:shd w:val="clear" w:color="auto" w:fill="auto"/>
            <w:noWrap/>
            <w:vAlign w:val="center"/>
            <w:hideMark/>
          </w:tcPr>
          <w:p w14:paraId="6A4BE8A9" w14:textId="50E74005"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2.94</w:t>
            </w:r>
          </w:p>
        </w:tc>
        <w:tc>
          <w:tcPr>
            <w:tcW w:w="960" w:type="dxa"/>
            <w:tcBorders>
              <w:top w:val="nil"/>
              <w:left w:val="nil"/>
              <w:right w:val="nil"/>
            </w:tcBorders>
            <w:shd w:val="clear" w:color="auto" w:fill="auto"/>
            <w:noWrap/>
            <w:hideMark/>
          </w:tcPr>
          <w:p w14:paraId="7D298604" w14:textId="3D9AB15B"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w:t>
            </w:r>
            <w:r w:rsidR="006F2BA3">
              <w:rPr>
                <w:rFonts w:ascii="Calibri" w:eastAsia="Times New Roman" w:hAnsi="Calibri" w:cs="Times New Roman"/>
                <w:sz w:val="24"/>
                <w:szCs w:val="24"/>
              </w:rPr>
              <w:t>0</w:t>
            </w:r>
          </w:p>
        </w:tc>
        <w:tc>
          <w:tcPr>
            <w:tcW w:w="960" w:type="dxa"/>
            <w:tcBorders>
              <w:top w:val="nil"/>
              <w:left w:val="nil"/>
              <w:right w:val="nil"/>
            </w:tcBorders>
          </w:tcPr>
          <w:p w14:paraId="79BE53F8" w14:textId="09ABF6F6"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3.01</w:t>
            </w:r>
          </w:p>
        </w:tc>
      </w:tr>
      <w:tr w:rsidR="008257DB" w:rsidRPr="008257DB" w14:paraId="70A30262" w14:textId="07C3D423" w:rsidTr="002E676C">
        <w:trPr>
          <w:trHeight w:hRule="exact" w:val="330"/>
          <w:jc w:val="center"/>
        </w:trPr>
        <w:tc>
          <w:tcPr>
            <w:tcW w:w="1780" w:type="dxa"/>
            <w:tcBorders>
              <w:top w:val="nil"/>
              <w:left w:val="nil"/>
              <w:bottom w:val="nil"/>
              <w:right w:val="nil"/>
            </w:tcBorders>
            <w:shd w:val="clear" w:color="auto" w:fill="auto"/>
            <w:noWrap/>
            <w:vAlign w:val="bottom"/>
            <w:hideMark/>
          </w:tcPr>
          <w:p w14:paraId="584F8CA4" w14:textId="77777777" w:rsidR="008917D9" w:rsidRPr="008257DB" w:rsidRDefault="008917D9" w:rsidP="008917D9">
            <w:pPr>
              <w:spacing w:line="240" w:lineRule="auto"/>
              <w:jc w:val="right"/>
              <w:rPr>
                <w:rFonts w:ascii="Calibri" w:eastAsia="Times New Roman" w:hAnsi="Calibri" w:cs="Times New Roman"/>
                <w:sz w:val="24"/>
                <w:szCs w:val="24"/>
              </w:rPr>
            </w:pPr>
          </w:p>
        </w:tc>
        <w:tc>
          <w:tcPr>
            <w:tcW w:w="960" w:type="dxa"/>
            <w:tcBorders>
              <w:top w:val="nil"/>
              <w:left w:val="nil"/>
              <w:bottom w:val="nil"/>
              <w:right w:val="nil"/>
            </w:tcBorders>
            <w:shd w:val="clear" w:color="auto" w:fill="auto"/>
            <w:noWrap/>
            <w:vAlign w:val="bottom"/>
            <w:hideMark/>
          </w:tcPr>
          <w:p w14:paraId="0C216F1F"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B0B912"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B8EC51"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14:paraId="504E8DCE"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tcPr>
          <w:p w14:paraId="7EADE81A"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r>
      <w:tr w:rsidR="008257DB" w:rsidRPr="008257DB" w14:paraId="19E2C0A8" w14:textId="02472C42" w:rsidTr="002E676C">
        <w:trPr>
          <w:trHeight w:hRule="exact" w:val="330"/>
          <w:jc w:val="center"/>
        </w:trPr>
        <w:tc>
          <w:tcPr>
            <w:tcW w:w="1780" w:type="dxa"/>
            <w:tcBorders>
              <w:top w:val="nil"/>
              <w:left w:val="nil"/>
              <w:right w:val="nil"/>
            </w:tcBorders>
            <w:shd w:val="clear" w:color="000000" w:fill="C2D69B"/>
            <w:noWrap/>
            <w:vAlign w:val="center"/>
            <w:hideMark/>
          </w:tcPr>
          <w:p w14:paraId="389F4EAE" w14:textId="77777777" w:rsidR="008917D9" w:rsidRPr="008257DB" w:rsidRDefault="008917D9" w:rsidP="008917D9">
            <w:pPr>
              <w:spacing w:line="240" w:lineRule="auto"/>
              <w:jc w:val="center"/>
              <w:rPr>
                <w:rFonts w:ascii="Calibri" w:eastAsia="Times New Roman" w:hAnsi="Calibri" w:cs="Times New Roman"/>
                <w:sz w:val="24"/>
                <w:szCs w:val="24"/>
              </w:rPr>
            </w:pPr>
            <w:r w:rsidRPr="008257DB">
              <w:rPr>
                <w:rFonts w:ascii="Calibri" w:eastAsia="Times New Roman" w:hAnsi="Calibri" w:cs="Times New Roman"/>
                <w:sz w:val="24"/>
                <w:szCs w:val="24"/>
              </w:rPr>
              <w:t>Golden West</w:t>
            </w:r>
          </w:p>
        </w:tc>
        <w:tc>
          <w:tcPr>
            <w:tcW w:w="960" w:type="dxa"/>
            <w:tcBorders>
              <w:top w:val="nil"/>
              <w:left w:val="nil"/>
              <w:right w:val="nil"/>
            </w:tcBorders>
            <w:shd w:val="clear" w:color="auto" w:fill="auto"/>
            <w:noWrap/>
            <w:vAlign w:val="center"/>
            <w:hideMark/>
          </w:tcPr>
          <w:p w14:paraId="033ED912" w14:textId="0DBC97A7" w:rsidR="008917D9" w:rsidRPr="008257DB" w:rsidRDefault="008917D9" w:rsidP="008917D9">
            <w:pPr>
              <w:spacing w:line="240" w:lineRule="auto"/>
              <w:jc w:val="right"/>
              <w:rPr>
                <w:rFonts w:ascii="Calibri" w:eastAsia="Times New Roman" w:hAnsi="Calibri" w:cs="Times New Roman"/>
                <w:sz w:val="24"/>
                <w:szCs w:val="24"/>
              </w:rPr>
            </w:pPr>
            <w:r w:rsidRPr="008257DB">
              <w:rPr>
                <w:rFonts w:ascii="Calibri" w:eastAsia="Times New Roman" w:hAnsi="Calibri" w:cs="Times New Roman"/>
                <w:sz w:val="24"/>
                <w:szCs w:val="24"/>
              </w:rPr>
              <w:t> </w:t>
            </w:r>
          </w:p>
        </w:tc>
        <w:tc>
          <w:tcPr>
            <w:tcW w:w="960" w:type="dxa"/>
            <w:tcBorders>
              <w:top w:val="nil"/>
              <w:left w:val="nil"/>
              <w:right w:val="nil"/>
            </w:tcBorders>
            <w:shd w:val="clear" w:color="auto" w:fill="auto"/>
            <w:noWrap/>
            <w:vAlign w:val="center"/>
            <w:hideMark/>
          </w:tcPr>
          <w:p w14:paraId="1D1A3D1E" w14:textId="4082EC02" w:rsidR="008917D9" w:rsidRPr="008257DB" w:rsidRDefault="008917D9" w:rsidP="008917D9">
            <w:pPr>
              <w:spacing w:line="240" w:lineRule="auto"/>
              <w:jc w:val="right"/>
              <w:rPr>
                <w:rFonts w:ascii="Calibri" w:eastAsia="Times New Roman" w:hAnsi="Calibri" w:cs="Times New Roman"/>
                <w:sz w:val="24"/>
                <w:szCs w:val="24"/>
              </w:rPr>
            </w:pPr>
            <w:r w:rsidRPr="008257DB">
              <w:rPr>
                <w:rFonts w:ascii="Calibri" w:eastAsia="Times New Roman" w:hAnsi="Calibri" w:cs="Times New Roman"/>
                <w:sz w:val="24"/>
                <w:szCs w:val="24"/>
              </w:rPr>
              <w:t> </w:t>
            </w:r>
          </w:p>
        </w:tc>
        <w:tc>
          <w:tcPr>
            <w:tcW w:w="960" w:type="dxa"/>
            <w:tcBorders>
              <w:top w:val="nil"/>
              <w:left w:val="nil"/>
              <w:right w:val="nil"/>
            </w:tcBorders>
            <w:shd w:val="clear" w:color="auto" w:fill="auto"/>
            <w:noWrap/>
            <w:vAlign w:val="center"/>
            <w:hideMark/>
          </w:tcPr>
          <w:p w14:paraId="12A75682" w14:textId="4549E9B6" w:rsidR="008917D9" w:rsidRPr="008257DB" w:rsidRDefault="008917D9" w:rsidP="008917D9">
            <w:pPr>
              <w:spacing w:line="240" w:lineRule="auto"/>
              <w:jc w:val="right"/>
              <w:rPr>
                <w:rFonts w:ascii="Calibri" w:eastAsia="Times New Roman" w:hAnsi="Calibri" w:cs="Times New Roman"/>
                <w:sz w:val="24"/>
                <w:szCs w:val="24"/>
              </w:rPr>
            </w:pPr>
            <w:r w:rsidRPr="008257DB">
              <w:rPr>
                <w:rFonts w:ascii="Calibri" w:eastAsia="Times New Roman" w:hAnsi="Calibri" w:cs="Times New Roman"/>
                <w:sz w:val="24"/>
                <w:szCs w:val="24"/>
              </w:rPr>
              <w:t> </w:t>
            </w:r>
          </w:p>
        </w:tc>
        <w:tc>
          <w:tcPr>
            <w:tcW w:w="960" w:type="dxa"/>
            <w:tcBorders>
              <w:top w:val="nil"/>
              <w:left w:val="nil"/>
              <w:right w:val="nil"/>
            </w:tcBorders>
            <w:shd w:val="clear" w:color="auto" w:fill="auto"/>
            <w:noWrap/>
            <w:hideMark/>
          </w:tcPr>
          <w:p w14:paraId="38AE82F5" w14:textId="3F97BC91" w:rsidR="008917D9" w:rsidRPr="008257DB" w:rsidRDefault="008917D9" w:rsidP="008917D9">
            <w:pPr>
              <w:spacing w:line="240" w:lineRule="auto"/>
              <w:jc w:val="right"/>
              <w:rPr>
                <w:rFonts w:ascii="Calibri" w:eastAsia="Times New Roman" w:hAnsi="Calibri" w:cs="Times New Roman"/>
                <w:sz w:val="24"/>
                <w:szCs w:val="24"/>
              </w:rPr>
            </w:pPr>
          </w:p>
        </w:tc>
        <w:tc>
          <w:tcPr>
            <w:tcW w:w="960" w:type="dxa"/>
            <w:tcBorders>
              <w:top w:val="nil"/>
              <w:left w:val="nil"/>
              <w:right w:val="nil"/>
            </w:tcBorders>
          </w:tcPr>
          <w:p w14:paraId="7F798DFB" w14:textId="77777777" w:rsidR="008917D9" w:rsidRPr="008257DB" w:rsidRDefault="008917D9" w:rsidP="008917D9">
            <w:pPr>
              <w:spacing w:line="240" w:lineRule="auto"/>
              <w:jc w:val="right"/>
              <w:rPr>
                <w:rFonts w:ascii="Calibri" w:eastAsia="Times New Roman" w:hAnsi="Calibri" w:cs="Times New Roman"/>
                <w:sz w:val="24"/>
                <w:szCs w:val="24"/>
              </w:rPr>
            </w:pPr>
          </w:p>
        </w:tc>
      </w:tr>
      <w:tr w:rsidR="008257DB" w:rsidRPr="008257DB" w14:paraId="19CF9B96" w14:textId="5A0B566F" w:rsidTr="002E676C">
        <w:trPr>
          <w:trHeight w:hRule="exact" w:val="330"/>
          <w:jc w:val="center"/>
        </w:trPr>
        <w:tc>
          <w:tcPr>
            <w:tcW w:w="1780" w:type="dxa"/>
            <w:tcBorders>
              <w:top w:val="nil"/>
              <w:left w:val="nil"/>
              <w:right w:val="nil"/>
            </w:tcBorders>
            <w:shd w:val="clear" w:color="auto" w:fill="auto"/>
            <w:noWrap/>
            <w:vAlign w:val="center"/>
            <w:hideMark/>
          </w:tcPr>
          <w:p w14:paraId="2B05A3BB" w14:textId="626C1B86" w:rsidR="008917D9" w:rsidRPr="008257DB" w:rsidRDefault="008917D9" w:rsidP="008917D9">
            <w:pPr>
              <w:spacing w:line="240" w:lineRule="auto"/>
              <w:jc w:val="center"/>
              <w:rPr>
                <w:rFonts w:ascii="Calibri" w:eastAsia="Times New Roman" w:hAnsi="Calibri" w:cs="Times New Roman"/>
                <w:bCs/>
                <w:sz w:val="24"/>
                <w:szCs w:val="24"/>
              </w:rPr>
            </w:pPr>
            <w:r w:rsidRPr="008257DB">
              <w:rPr>
                <w:rFonts w:ascii="Calibri" w:eastAsia="Times New Roman" w:hAnsi="Calibri" w:cs="Times New Roman"/>
                <w:bCs/>
                <w:sz w:val="24"/>
                <w:szCs w:val="24"/>
              </w:rPr>
              <w:t>Semester</w:t>
            </w:r>
          </w:p>
        </w:tc>
        <w:tc>
          <w:tcPr>
            <w:tcW w:w="960" w:type="dxa"/>
            <w:tcBorders>
              <w:top w:val="nil"/>
              <w:left w:val="nil"/>
              <w:right w:val="nil"/>
            </w:tcBorders>
            <w:shd w:val="clear" w:color="auto" w:fill="auto"/>
            <w:noWrap/>
            <w:vAlign w:val="center"/>
            <w:hideMark/>
          </w:tcPr>
          <w:p w14:paraId="1591563F" w14:textId="48BEF469"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w:t>
            </w:r>
            <w:r w:rsidR="00AD5C86">
              <w:rPr>
                <w:rFonts w:ascii="Calibri" w:eastAsia="Times New Roman" w:hAnsi="Calibri" w:cs="Times New Roman"/>
                <w:sz w:val="24"/>
                <w:szCs w:val="24"/>
              </w:rPr>
              <w:t>4</w:t>
            </w:r>
          </w:p>
        </w:tc>
        <w:tc>
          <w:tcPr>
            <w:tcW w:w="960" w:type="dxa"/>
            <w:tcBorders>
              <w:top w:val="nil"/>
              <w:left w:val="nil"/>
              <w:right w:val="nil"/>
            </w:tcBorders>
            <w:shd w:val="clear" w:color="auto" w:fill="auto"/>
            <w:noWrap/>
            <w:vAlign w:val="center"/>
            <w:hideMark/>
          </w:tcPr>
          <w:p w14:paraId="03A666DD" w14:textId="6D753C38"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2.80</w:t>
            </w:r>
          </w:p>
        </w:tc>
        <w:tc>
          <w:tcPr>
            <w:tcW w:w="960" w:type="dxa"/>
            <w:tcBorders>
              <w:top w:val="nil"/>
              <w:left w:val="nil"/>
              <w:right w:val="nil"/>
            </w:tcBorders>
            <w:shd w:val="clear" w:color="auto" w:fill="auto"/>
            <w:noWrap/>
            <w:vAlign w:val="center"/>
            <w:hideMark/>
          </w:tcPr>
          <w:p w14:paraId="21C4D3B3" w14:textId="60B34393"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2.7</w:t>
            </w:r>
            <w:r w:rsidR="00AD5C86">
              <w:rPr>
                <w:rFonts w:ascii="Calibri" w:eastAsia="Times New Roman" w:hAnsi="Calibri" w:cs="Times New Roman"/>
                <w:sz w:val="24"/>
                <w:szCs w:val="24"/>
              </w:rPr>
              <w:t>6</w:t>
            </w:r>
          </w:p>
        </w:tc>
        <w:tc>
          <w:tcPr>
            <w:tcW w:w="960" w:type="dxa"/>
            <w:tcBorders>
              <w:top w:val="nil"/>
              <w:left w:val="nil"/>
              <w:right w:val="nil"/>
            </w:tcBorders>
            <w:shd w:val="clear" w:color="auto" w:fill="auto"/>
            <w:noWrap/>
            <w:hideMark/>
          </w:tcPr>
          <w:p w14:paraId="16FA4256" w14:textId="583439AA"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w:t>
            </w:r>
            <w:r w:rsidR="00AD5C86">
              <w:rPr>
                <w:rFonts w:ascii="Calibri" w:eastAsia="Times New Roman" w:hAnsi="Calibri" w:cs="Times New Roman"/>
                <w:sz w:val="24"/>
                <w:szCs w:val="24"/>
              </w:rPr>
              <w:t>81</w:t>
            </w:r>
          </w:p>
        </w:tc>
        <w:tc>
          <w:tcPr>
            <w:tcW w:w="960" w:type="dxa"/>
            <w:tcBorders>
              <w:top w:val="nil"/>
              <w:left w:val="nil"/>
              <w:right w:val="nil"/>
            </w:tcBorders>
          </w:tcPr>
          <w:p w14:paraId="7FFFCEC4" w14:textId="669511BC"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w:t>
            </w:r>
            <w:r w:rsidR="00AD5C86">
              <w:rPr>
                <w:rFonts w:ascii="Calibri" w:eastAsia="Times New Roman" w:hAnsi="Calibri" w:cs="Times New Roman"/>
                <w:sz w:val="24"/>
                <w:szCs w:val="24"/>
              </w:rPr>
              <w:t>82</w:t>
            </w:r>
          </w:p>
        </w:tc>
      </w:tr>
      <w:tr w:rsidR="008257DB" w:rsidRPr="008257DB" w14:paraId="5D80C659" w14:textId="1337B60E" w:rsidTr="002E676C">
        <w:trPr>
          <w:trHeight w:hRule="exact" w:val="330"/>
          <w:jc w:val="center"/>
        </w:trPr>
        <w:tc>
          <w:tcPr>
            <w:tcW w:w="1780" w:type="dxa"/>
            <w:tcBorders>
              <w:top w:val="nil"/>
              <w:left w:val="nil"/>
              <w:right w:val="nil"/>
            </w:tcBorders>
            <w:shd w:val="clear" w:color="auto" w:fill="auto"/>
            <w:noWrap/>
            <w:vAlign w:val="center"/>
            <w:hideMark/>
          </w:tcPr>
          <w:p w14:paraId="4C9081C3" w14:textId="6DAE2DCD" w:rsidR="008917D9" w:rsidRPr="008257DB" w:rsidRDefault="008917D9" w:rsidP="008917D9">
            <w:pPr>
              <w:spacing w:line="240" w:lineRule="auto"/>
              <w:jc w:val="center"/>
              <w:rPr>
                <w:rFonts w:ascii="Calibri" w:eastAsia="Times New Roman" w:hAnsi="Calibri" w:cs="Times New Roman"/>
                <w:bCs/>
                <w:sz w:val="24"/>
                <w:szCs w:val="24"/>
              </w:rPr>
            </w:pPr>
            <w:r w:rsidRPr="008257DB">
              <w:rPr>
                <w:rFonts w:ascii="Calibri" w:eastAsia="Times New Roman" w:hAnsi="Calibri" w:cs="Times New Roman"/>
                <w:bCs/>
                <w:sz w:val="24"/>
                <w:szCs w:val="24"/>
              </w:rPr>
              <w:t>Cumulative</w:t>
            </w:r>
          </w:p>
        </w:tc>
        <w:tc>
          <w:tcPr>
            <w:tcW w:w="960" w:type="dxa"/>
            <w:tcBorders>
              <w:top w:val="nil"/>
              <w:left w:val="nil"/>
              <w:right w:val="nil"/>
            </w:tcBorders>
            <w:shd w:val="clear" w:color="auto" w:fill="auto"/>
            <w:noWrap/>
            <w:vAlign w:val="center"/>
            <w:hideMark/>
          </w:tcPr>
          <w:p w14:paraId="462C3C98" w14:textId="65D3ED64"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2.93</w:t>
            </w:r>
          </w:p>
        </w:tc>
        <w:tc>
          <w:tcPr>
            <w:tcW w:w="960" w:type="dxa"/>
            <w:tcBorders>
              <w:top w:val="nil"/>
              <w:left w:val="nil"/>
              <w:right w:val="nil"/>
            </w:tcBorders>
            <w:shd w:val="clear" w:color="auto" w:fill="auto"/>
            <w:noWrap/>
            <w:vAlign w:val="center"/>
            <w:hideMark/>
          </w:tcPr>
          <w:p w14:paraId="2A1D796C" w14:textId="0CB5A9B3"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2.91</w:t>
            </w:r>
          </w:p>
        </w:tc>
        <w:tc>
          <w:tcPr>
            <w:tcW w:w="960" w:type="dxa"/>
            <w:tcBorders>
              <w:top w:val="nil"/>
              <w:left w:val="nil"/>
              <w:right w:val="nil"/>
            </w:tcBorders>
            <w:shd w:val="clear" w:color="auto" w:fill="auto"/>
            <w:noWrap/>
            <w:vAlign w:val="center"/>
            <w:hideMark/>
          </w:tcPr>
          <w:p w14:paraId="47C7F4C8" w14:textId="5E638AFB"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2.86</w:t>
            </w:r>
          </w:p>
        </w:tc>
        <w:tc>
          <w:tcPr>
            <w:tcW w:w="960" w:type="dxa"/>
            <w:tcBorders>
              <w:top w:val="nil"/>
              <w:left w:val="nil"/>
              <w:right w:val="nil"/>
            </w:tcBorders>
            <w:shd w:val="clear" w:color="auto" w:fill="auto"/>
            <w:noWrap/>
            <w:hideMark/>
          </w:tcPr>
          <w:p w14:paraId="5D06809C" w14:textId="4812EB1B"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w:t>
            </w:r>
            <w:r w:rsidR="006F2BA3">
              <w:rPr>
                <w:rFonts w:ascii="Calibri" w:eastAsia="Times New Roman" w:hAnsi="Calibri" w:cs="Times New Roman"/>
                <w:sz w:val="24"/>
                <w:szCs w:val="24"/>
              </w:rPr>
              <w:t>8</w:t>
            </w:r>
          </w:p>
        </w:tc>
        <w:tc>
          <w:tcPr>
            <w:tcW w:w="960" w:type="dxa"/>
            <w:tcBorders>
              <w:top w:val="nil"/>
              <w:left w:val="nil"/>
              <w:right w:val="nil"/>
            </w:tcBorders>
          </w:tcPr>
          <w:p w14:paraId="5B4FF55A" w14:textId="4E24C5AB"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w:t>
            </w:r>
            <w:r w:rsidR="006F2BA3">
              <w:rPr>
                <w:rFonts w:ascii="Calibri" w:eastAsia="Times New Roman" w:hAnsi="Calibri" w:cs="Times New Roman"/>
                <w:sz w:val="24"/>
                <w:szCs w:val="24"/>
              </w:rPr>
              <w:t>89</w:t>
            </w:r>
          </w:p>
        </w:tc>
      </w:tr>
      <w:tr w:rsidR="008257DB" w:rsidRPr="008257DB" w14:paraId="4F3AA100" w14:textId="7D9A6D9C" w:rsidTr="002E676C">
        <w:trPr>
          <w:trHeight w:hRule="exact" w:val="330"/>
          <w:jc w:val="center"/>
        </w:trPr>
        <w:tc>
          <w:tcPr>
            <w:tcW w:w="1780" w:type="dxa"/>
            <w:tcBorders>
              <w:top w:val="nil"/>
              <w:left w:val="nil"/>
              <w:bottom w:val="nil"/>
              <w:right w:val="nil"/>
            </w:tcBorders>
            <w:shd w:val="clear" w:color="auto" w:fill="auto"/>
            <w:noWrap/>
            <w:vAlign w:val="bottom"/>
            <w:hideMark/>
          </w:tcPr>
          <w:p w14:paraId="304630D4" w14:textId="77777777" w:rsidR="008917D9" w:rsidRPr="008257DB" w:rsidRDefault="008917D9" w:rsidP="008917D9">
            <w:pPr>
              <w:spacing w:line="240" w:lineRule="auto"/>
              <w:jc w:val="right"/>
              <w:rPr>
                <w:rFonts w:ascii="Calibri" w:eastAsia="Times New Roman" w:hAnsi="Calibri" w:cs="Times New Roman"/>
                <w:sz w:val="24"/>
                <w:szCs w:val="24"/>
              </w:rPr>
            </w:pPr>
          </w:p>
        </w:tc>
        <w:tc>
          <w:tcPr>
            <w:tcW w:w="960" w:type="dxa"/>
            <w:tcBorders>
              <w:top w:val="nil"/>
              <w:left w:val="nil"/>
              <w:bottom w:val="nil"/>
              <w:right w:val="nil"/>
            </w:tcBorders>
            <w:shd w:val="clear" w:color="auto" w:fill="auto"/>
            <w:noWrap/>
            <w:vAlign w:val="bottom"/>
            <w:hideMark/>
          </w:tcPr>
          <w:p w14:paraId="2279B833"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9C34F3"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A81F80"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hideMark/>
          </w:tcPr>
          <w:p w14:paraId="25CD4772"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tcPr>
          <w:p w14:paraId="286BE366" w14:textId="77777777" w:rsidR="008917D9" w:rsidRPr="008257DB" w:rsidRDefault="008917D9" w:rsidP="008917D9">
            <w:pPr>
              <w:spacing w:line="240" w:lineRule="auto"/>
              <w:jc w:val="right"/>
              <w:rPr>
                <w:rFonts w:ascii="Times New Roman" w:eastAsia="Times New Roman" w:hAnsi="Times New Roman" w:cs="Times New Roman"/>
                <w:sz w:val="20"/>
                <w:szCs w:val="20"/>
              </w:rPr>
            </w:pPr>
          </w:p>
        </w:tc>
      </w:tr>
      <w:tr w:rsidR="008257DB" w:rsidRPr="008257DB" w14:paraId="24AB9ABF" w14:textId="7FF88A08" w:rsidTr="002E676C">
        <w:trPr>
          <w:trHeight w:hRule="exact" w:val="330"/>
          <w:jc w:val="center"/>
        </w:trPr>
        <w:tc>
          <w:tcPr>
            <w:tcW w:w="1780" w:type="dxa"/>
            <w:tcBorders>
              <w:top w:val="nil"/>
              <w:left w:val="nil"/>
              <w:right w:val="nil"/>
            </w:tcBorders>
            <w:shd w:val="clear" w:color="000000" w:fill="FABF8F"/>
            <w:noWrap/>
            <w:vAlign w:val="center"/>
            <w:hideMark/>
          </w:tcPr>
          <w:p w14:paraId="173F6CDF" w14:textId="77777777" w:rsidR="008917D9" w:rsidRPr="008257DB" w:rsidRDefault="008917D9" w:rsidP="008917D9">
            <w:pPr>
              <w:spacing w:line="240" w:lineRule="auto"/>
              <w:jc w:val="center"/>
              <w:rPr>
                <w:rFonts w:ascii="Calibri" w:eastAsia="Times New Roman" w:hAnsi="Calibri" w:cs="Times New Roman"/>
                <w:sz w:val="24"/>
                <w:szCs w:val="24"/>
              </w:rPr>
            </w:pPr>
            <w:r w:rsidRPr="008257DB">
              <w:rPr>
                <w:rFonts w:ascii="Calibri" w:eastAsia="Times New Roman" w:hAnsi="Calibri" w:cs="Times New Roman"/>
                <w:sz w:val="24"/>
                <w:szCs w:val="24"/>
              </w:rPr>
              <w:t>Orange Coast</w:t>
            </w:r>
          </w:p>
        </w:tc>
        <w:tc>
          <w:tcPr>
            <w:tcW w:w="960" w:type="dxa"/>
            <w:tcBorders>
              <w:top w:val="nil"/>
              <w:left w:val="nil"/>
              <w:right w:val="nil"/>
            </w:tcBorders>
            <w:shd w:val="clear" w:color="auto" w:fill="auto"/>
            <w:noWrap/>
            <w:vAlign w:val="center"/>
            <w:hideMark/>
          </w:tcPr>
          <w:p w14:paraId="7BF31289" w14:textId="3735873B" w:rsidR="008917D9" w:rsidRPr="008257DB" w:rsidRDefault="008917D9" w:rsidP="008917D9">
            <w:pPr>
              <w:spacing w:line="240" w:lineRule="auto"/>
              <w:jc w:val="right"/>
              <w:rPr>
                <w:rFonts w:ascii="Calibri" w:eastAsia="Times New Roman" w:hAnsi="Calibri" w:cs="Times New Roman"/>
                <w:sz w:val="24"/>
                <w:szCs w:val="24"/>
              </w:rPr>
            </w:pPr>
            <w:r w:rsidRPr="008257DB">
              <w:rPr>
                <w:rFonts w:ascii="Calibri" w:eastAsia="Times New Roman" w:hAnsi="Calibri" w:cs="Times New Roman"/>
                <w:sz w:val="24"/>
                <w:szCs w:val="24"/>
              </w:rPr>
              <w:t> </w:t>
            </w:r>
          </w:p>
        </w:tc>
        <w:tc>
          <w:tcPr>
            <w:tcW w:w="960" w:type="dxa"/>
            <w:tcBorders>
              <w:top w:val="nil"/>
              <w:left w:val="nil"/>
              <w:right w:val="nil"/>
            </w:tcBorders>
            <w:shd w:val="clear" w:color="auto" w:fill="auto"/>
            <w:noWrap/>
            <w:vAlign w:val="center"/>
            <w:hideMark/>
          </w:tcPr>
          <w:p w14:paraId="371B017D" w14:textId="3E8696E8" w:rsidR="008917D9" w:rsidRPr="008257DB" w:rsidRDefault="008917D9" w:rsidP="008917D9">
            <w:pPr>
              <w:spacing w:line="240" w:lineRule="auto"/>
              <w:jc w:val="right"/>
              <w:rPr>
                <w:rFonts w:ascii="Calibri" w:eastAsia="Times New Roman" w:hAnsi="Calibri" w:cs="Times New Roman"/>
                <w:sz w:val="24"/>
                <w:szCs w:val="24"/>
              </w:rPr>
            </w:pPr>
            <w:r w:rsidRPr="008257DB">
              <w:rPr>
                <w:rFonts w:ascii="Calibri" w:eastAsia="Times New Roman" w:hAnsi="Calibri" w:cs="Times New Roman"/>
                <w:sz w:val="24"/>
                <w:szCs w:val="24"/>
              </w:rPr>
              <w:t> </w:t>
            </w:r>
          </w:p>
        </w:tc>
        <w:tc>
          <w:tcPr>
            <w:tcW w:w="960" w:type="dxa"/>
            <w:tcBorders>
              <w:top w:val="nil"/>
              <w:left w:val="nil"/>
              <w:right w:val="nil"/>
            </w:tcBorders>
            <w:shd w:val="clear" w:color="auto" w:fill="auto"/>
            <w:noWrap/>
            <w:vAlign w:val="center"/>
            <w:hideMark/>
          </w:tcPr>
          <w:p w14:paraId="2214EBA8" w14:textId="6BB73D5F" w:rsidR="008917D9" w:rsidRPr="008257DB" w:rsidRDefault="008917D9" w:rsidP="008917D9">
            <w:pPr>
              <w:spacing w:line="240" w:lineRule="auto"/>
              <w:jc w:val="right"/>
              <w:rPr>
                <w:rFonts w:ascii="Calibri" w:eastAsia="Times New Roman" w:hAnsi="Calibri" w:cs="Times New Roman"/>
                <w:sz w:val="24"/>
                <w:szCs w:val="24"/>
              </w:rPr>
            </w:pPr>
            <w:r w:rsidRPr="008257DB">
              <w:rPr>
                <w:rFonts w:ascii="Calibri" w:eastAsia="Times New Roman" w:hAnsi="Calibri" w:cs="Times New Roman"/>
                <w:sz w:val="24"/>
                <w:szCs w:val="24"/>
              </w:rPr>
              <w:t> </w:t>
            </w:r>
          </w:p>
        </w:tc>
        <w:tc>
          <w:tcPr>
            <w:tcW w:w="960" w:type="dxa"/>
            <w:tcBorders>
              <w:top w:val="nil"/>
              <w:left w:val="nil"/>
              <w:right w:val="nil"/>
            </w:tcBorders>
            <w:shd w:val="clear" w:color="auto" w:fill="auto"/>
            <w:noWrap/>
            <w:hideMark/>
          </w:tcPr>
          <w:p w14:paraId="17A15E4E" w14:textId="6FBA4D82" w:rsidR="008917D9" w:rsidRPr="008257DB" w:rsidRDefault="008917D9" w:rsidP="008917D9">
            <w:pPr>
              <w:spacing w:line="240" w:lineRule="auto"/>
              <w:jc w:val="right"/>
              <w:rPr>
                <w:rFonts w:ascii="Calibri" w:eastAsia="Times New Roman" w:hAnsi="Calibri" w:cs="Times New Roman"/>
                <w:sz w:val="24"/>
                <w:szCs w:val="24"/>
              </w:rPr>
            </w:pPr>
          </w:p>
        </w:tc>
        <w:tc>
          <w:tcPr>
            <w:tcW w:w="960" w:type="dxa"/>
            <w:tcBorders>
              <w:top w:val="nil"/>
              <w:left w:val="nil"/>
              <w:right w:val="nil"/>
            </w:tcBorders>
          </w:tcPr>
          <w:p w14:paraId="7CD45C13" w14:textId="77777777" w:rsidR="008917D9" w:rsidRPr="008257DB" w:rsidRDefault="008917D9" w:rsidP="008917D9">
            <w:pPr>
              <w:spacing w:line="240" w:lineRule="auto"/>
              <w:jc w:val="right"/>
              <w:rPr>
                <w:rFonts w:ascii="Calibri" w:eastAsia="Times New Roman" w:hAnsi="Calibri" w:cs="Times New Roman"/>
                <w:sz w:val="24"/>
                <w:szCs w:val="24"/>
              </w:rPr>
            </w:pPr>
          </w:p>
        </w:tc>
      </w:tr>
      <w:tr w:rsidR="008257DB" w:rsidRPr="008257DB" w14:paraId="2F759D5D" w14:textId="51A0C7F3" w:rsidTr="002E676C">
        <w:trPr>
          <w:trHeight w:hRule="exact" w:val="330"/>
          <w:jc w:val="center"/>
        </w:trPr>
        <w:tc>
          <w:tcPr>
            <w:tcW w:w="1780" w:type="dxa"/>
            <w:tcBorders>
              <w:top w:val="nil"/>
              <w:left w:val="nil"/>
              <w:right w:val="nil"/>
            </w:tcBorders>
            <w:shd w:val="clear" w:color="auto" w:fill="auto"/>
            <w:noWrap/>
            <w:vAlign w:val="center"/>
            <w:hideMark/>
          </w:tcPr>
          <w:p w14:paraId="665C6501" w14:textId="6A77598F" w:rsidR="008917D9" w:rsidRPr="008257DB" w:rsidRDefault="008917D9" w:rsidP="008917D9">
            <w:pPr>
              <w:spacing w:line="240" w:lineRule="auto"/>
              <w:jc w:val="center"/>
              <w:rPr>
                <w:rFonts w:ascii="Calibri" w:eastAsia="Times New Roman" w:hAnsi="Calibri" w:cs="Times New Roman"/>
                <w:bCs/>
                <w:sz w:val="24"/>
                <w:szCs w:val="24"/>
              </w:rPr>
            </w:pPr>
            <w:r w:rsidRPr="008257DB">
              <w:rPr>
                <w:rFonts w:ascii="Calibri" w:eastAsia="Times New Roman" w:hAnsi="Calibri" w:cs="Times New Roman"/>
                <w:bCs/>
                <w:sz w:val="24"/>
                <w:szCs w:val="24"/>
              </w:rPr>
              <w:t>Semester</w:t>
            </w:r>
          </w:p>
        </w:tc>
        <w:tc>
          <w:tcPr>
            <w:tcW w:w="960" w:type="dxa"/>
            <w:tcBorders>
              <w:top w:val="nil"/>
              <w:left w:val="nil"/>
              <w:right w:val="nil"/>
            </w:tcBorders>
            <w:shd w:val="clear" w:color="auto" w:fill="auto"/>
            <w:noWrap/>
            <w:vAlign w:val="center"/>
            <w:hideMark/>
          </w:tcPr>
          <w:p w14:paraId="51003A7D" w14:textId="32CC4D28"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2.96</w:t>
            </w:r>
          </w:p>
        </w:tc>
        <w:tc>
          <w:tcPr>
            <w:tcW w:w="960" w:type="dxa"/>
            <w:tcBorders>
              <w:top w:val="nil"/>
              <w:left w:val="nil"/>
              <w:right w:val="nil"/>
            </w:tcBorders>
            <w:shd w:val="clear" w:color="auto" w:fill="auto"/>
            <w:noWrap/>
            <w:vAlign w:val="center"/>
            <w:hideMark/>
          </w:tcPr>
          <w:p w14:paraId="10D0A2E8" w14:textId="7FD65779"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w:t>
            </w:r>
            <w:r w:rsidR="00AD5C86">
              <w:rPr>
                <w:rFonts w:ascii="Calibri" w:eastAsia="Times New Roman" w:hAnsi="Calibri" w:cs="Times New Roman"/>
                <w:sz w:val="24"/>
                <w:szCs w:val="24"/>
              </w:rPr>
              <w:t>4</w:t>
            </w:r>
          </w:p>
        </w:tc>
        <w:tc>
          <w:tcPr>
            <w:tcW w:w="960" w:type="dxa"/>
            <w:tcBorders>
              <w:top w:val="nil"/>
              <w:left w:val="nil"/>
              <w:right w:val="nil"/>
            </w:tcBorders>
            <w:shd w:val="clear" w:color="auto" w:fill="auto"/>
            <w:noWrap/>
            <w:vAlign w:val="center"/>
            <w:hideMark/>
          </w:tcPr>
          <w:p w14:paraId="2F0666E3" w14:textId="06056335"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2.89</w:t>
            </w:r>
          </w:p>
        </w:tc>
        <w:tc>
          <w:tcPr>
            <w:tcW w:w="960" w:type="dxa"/>
            <w:tcBorders>
              <w:top w:val="nil"/>
              <w:left w:val="nil"/>
              <w:right w:val="nil"/>
            </w:tcBorders>
            <w:shd w:val="clear" w:color="auto" w:fill="auto"/>
            <w:noWrap/>
            <w:hideMark/>
          </w:tcPr>
          <w:p w14:paraId="23A5ECAE" w14:textId="5CE6B8AA"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2.8</w:t>
            </w:r>
            <w:r w:rsidR="007607F5">
              <w:rPr>
                <w:rFonts w:ascii="Calibri" w:eastAsia="Times New Roman" w:hAnsi="Calibri" w:cs="Times New Roman"/>
                <w:sz w:val="24"/>
                <w:szCs w:val="24"/>
              </w:rPr>
              <w:t>9</w:t>
            </w:r>
          </w:p>
        </w:tc>
        <w:tc>
          <w:tcPr>
            <w:tcW w:w="960" w:type="dxa"/>
            <w:tcBorders>
              <w:top w:val="nil"/>
              <w:left w:val="nil"/>
              <w:right w:val="nil"/>
            </w:tcBorders>
          </w:tcPr>
          <w:p w14:paraId="202395A3" w14:textId="1A472767"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w:t>
            </w:r>
            <w:r w:rsidR="00AD5C86">
              <w:rPr>
                <w:rFonts w:ascii="Calibri" w:eastAsia="Times New Roman" w:hAnsi="Calibri" w:cs="Times New Roman"/>
                <w:sz w:val="24"/>
                <w:szCs w:val="24"/>
              </w:rPr>
              <w:t>87</w:t>
            </w:r>
          </w:p>
        </w:tc>
      </w:tr>
      <w:tr w:rsidR="008257DB" w:rsidRPr="008257DB" w14:paraId="6BB4AE77" w14:textId="3B57B8D4" w:rsidTr="002E676C">
        <w:trPr>
          <w:trHeight w:hRule="exact" w:val="330"/>
          <w:jc w:val="center"/>
        </w:trPr>
        <w:tc>
          <w:tcPr>
            <w:tcW w:w="1780" w:type="dxa"/>
            <w:tcBorders>
              <w:top w:val="nil"/>
              <w:left w:val="nil"/>
              <w:right w:val="nil"/>
            </w:tcBorders>
            <w:shd w:val="clear" w:color="auto" w:fill="auto"/>
            <w:noWrap/>
            <w:vAlign w:val="center"/>
            <w:hideMark/>
          </w:tcPr>
          <w:p w14:paraId="4E22BD92" w14:textId="0955E18D" w:rsidR="008917D9" w:rsidRPr="008257DB" w:rsidRDefault="008917D9" w:rsidP="008917D9">
            <w:pPr>
              <w:spacing w:line="240" w:lineRule="auto"/>
              <w:jc w:val="center"/>
              <w:rPr>
                <w:rFonts w:ascii="Calibri" w:eastAsia="Times New Roman" w:hAnsi="Calibri" w:cs="Times New Roman"/>
                <w:bCs/>
                <w:sz w:val="24"/>
                <w:szCs w:val="24"/>
              </w:rPr>
            </w:pPr>
            <w:r w:rsidRPr="008257DB">
              <w:rPr>
                <w:rFonts w:ascii="Calibri" w:eastAsia="Times New Roman" w:hAnsi="Calibri" w:cs="Times New Roman"/>
                <w:bCs/>
                <w:sz w:val="24"/>
                <w:szCs w:val="24"/>
              </w:rPr>
              <w:t>Cumulative</w:t>
            </w:r>
          </w:p>
        </w:tc>
        <w:tc>
          <w:tcPr>
            <w:tcW w:w="960" w:type="dxa"/>
            <w:tcBorders>
              <w:top w:val="nil"/>
              <w:left w:val="nil"/>
              <w:bottom w:val="single" w:sz="4" w:space="0" w:color="auto"/>
              <w:right w:val="nil"/>
            </w:tcBorders>
            <w:shd w:val="clear" w:color="auto" w:fill="auto"/>
            <w:noWrap/>
            <w:vAlign w:val="center"/>
            <w:hideMark/>
          </w:tcPr>
          <w:p w14:paraId="1EC1D13A" w14:textId="662120E6"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2.99</w:t>
            </w:r>
          </w:p>
        </w:tc>
        <w:tc>
          <w:tcPr>
            <w:tcW w:w="960" w:type="dxa"/>
            <w:tcBorders>
              <w:top w:val="nil"/>
              <w:left w:val="nil"/>
              <w:bottom w:val="single" w:sz="4" w:space="0" w:color="auto"/>
              <w:right w:val="nil"/>
            </w:tcBorders>
            <w:shd w:val="clear" w:color="auto" w:fill="auto"/>
            <w:noWrap/>
            <w:vAlign w:val="center"/>
            <w:hideMark/>
          </w:tcPr>
          <w:p w14:paraId="0C844FC0" w14:textId="14CC1F3E"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2.97</w:t>
            </w:r>
          </w:p>
        </w:tc>
        <w:tc>
          <w:tcPr>
            <w:tcW w:w="960" w:type="dxa"/>
            <w:tcBorders>
              <w:top w:val="nil"/>
              <w:left w:val="nil"/>
              <w:bottom w:val="single" w:sz="4" w:space="0" w:color="auto"/>
              <w:right w:val="nil"/>
            </w:tcBorders>
            <w:shd w:val="clear" w:color="auto" w:fill="auto"/>
            <w:noWrap/>
            <w:vAlign w:val="center"/>
            <w:hideMark/>
          </w:tcPr>
          <w:p w14:paraId="4AF43CA2" w14:textId="245F4000" w:rsidR="008917D9" w:rsidRPr="008257DB" w:rsidRDefault="00BB7E14"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2.96</w:t>
            </w:r>
          </w:p>
        </w:tc>
        <w:tc>
          <w:tcPr>
            <w:tcW w:w="960" w:type="dxa"/>
            <w:tcBorders>
              <w:top w:val="nil"/>
              <w:left w:val="nil"/>
              <w:bottom w:val="single" w:sz="4" w:space="0" w:color="auto"/>
              <w:right w:val="nil"/>
            </w:tcBorders>
            <w:shd w:val="clear" w:color="auto" w:fill="auto"/>
            <w:noWrap/>
            <w:hideMark/>
          </w:tcPr>
          <w:p w14:paraId="16C7026C" w14:textId="504C647E"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2.96</w:t>
            </w:r>
          </w:p>
        </w:tc>
        <w:tc>
          <w:tcPr>
            <w:tcW w:w="960" w:type="dxa"/>
            <w:tcBorders>
              <w:top w:val="nil"/>
              <w:left w:val="nil"/>
              <w:bottom w:val="single" w:sz="4" w:space="0" w:color="auto"/>
              <w:right w:val="nil"/>
            </w:tcBorders>
          </w:tcPr>
          <w:p w14:paraId="2F5A694B" w14:textId="1A467E8D" w:rsidR="008917D9" w:rsidRPr="008257DB" w:rsidRDefault="006F2BA3" w:rsidP="008917D9">
            <w:pPr>
              <w:spacing w:line="240" w:lineRule="auto"/>
              <w:jc w:val="right"/>
              <w:rPr>
                <w:rFonts w:ascii="Calibri" w:eastAsia="Times New Roman" w:hAnsi="Calibri" w:cs="Times New Roman"/>
                <w:sz w:val="24"/>
                <w:szCs w:val="24"/>
              </w:rPr>
            </w:pPr>
            <w:r>
              <w:rPr>
                <w:rFonts w:ascii="Calibri" w:eastAsia="Times New Roman" w:hAnsi="Calibri" w:cs="Times New Roman"/>
                <w:sz w:val="24"/>
                <w:szCs w:val="24"/>
              </w:rPr>
              <w:t>2.96</w:t>
            </w:r>
          </w:p>
        </w:tc>
      </w:tr>
    </w:tbl>
    <w:p w14:paraId="3206EB32" w14:textId="77777777" w:rsidR="006E6559" w:rsidRPr="00B9364B" w:rsidRDefault="006E6559" w:rsidP="00690D12">
      <w:pPr>
        <w:autoSpaceDE w:val="0"/>
        <w:autoSpaceDN w:val="0"/>
        <w:adjustRightInd w:val="0"/>
        <w:rPr>
          <w:bCs/>
          <w:color w:val="FF0000"/>
        </w:rPr>
      </w:pPr>
    </w:p>
    <w:p w14:paraId="60009DAB" w14:textId="77777777" w:rsidR="00923F3E" w:rsidRPr="00B9364B" w:rsidRDefault="00923F3E" w:rsidP="00690D12">
      <w:pPr>
        <w:autoSpaceDE w:val="0"/>
        <w:autoSpaceDN w:val="0"/>
        <w:adjustRightInd w:val="0"/>
        <w:rPr>
          <w:bCs/>
          <w:color w:val="FF0000"/>
        </w:rPr>
      </w:pPr>
    </w:p>
    <w:p w14:paraId="4ACD9B15" w14:textId="53EB00F0" w:rsidR="00C05305" w:rsidRPr="00B9364B" w:rsidRDefault="007241FC" w:rsidP="007241FC">
      <w:pPr>
        <w:autoSpaceDE w:val="0"/>
        <w:autoSpaceDN w:val="0"/>
        <w:adjustRightInd w:val="0"/>
        <w:jc w:val="center"/>
        <w:rPr>
          <w:bCs/>
          <w:color w:val="FF0000"/>
        </w:rPr>
      </w:pPr>
      <w:r w:rsidRPr="00B9364B">
        <w:rPr>
          <w:bCs/>
          <w:noProof/>
          <w:color w:val="FF0000"/>
        </w:rPr>
        <w:drawing>
          <wp:inline distT="0" distB="0" distL="0" distR="0" wp14:anchorId="798FDE5C" wp14:editId="5D366AED">
            <wp:extent cx="5753819"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5FDCF1" w14:textId="77777777" w:rsidR="007241FC" w:rsidRPr="00B9364B" w:rsidRDefault="007241FC" w:rsidP="00690D12">
      <w:pPr>
        <w:autoSpaceDE w:val="0"/>
        <w:autoSpaceDN w:val="0"/>
        <w:adjustRightInd w:val="0"/>
        <w:rPr>
          <w:bCs/>
          <w:color w:val="FF0000"/>
        </w:rPr>
      </w:pPr>
    </w:p>
    <w:p w14:paraId="0F9D5F08" w14:textId="77777777" w:rsidR="00D93E84" w:rsidRPr="008257DB" w:rsidRDefault="00D93E84" w:rsidP="00690D12">
      <w:pPr>
        <w:autoSpaceDE w:val="0"/>
        <w:autoSpaceDN w:val="0"/>
        <w:adjustRightInd w:val="0"/>
        <w:rPr>
          <w:bCs/>
          <w:sz w:val="16"/>
          <w:szCs w:val="16"/>
        </w:rPr>
      </w:pPr>
      <w:r w:rsidRPr="008257DB">
        <w:rPr>
          <w:bCs/>
          <w:sz w:val="16"/>
          <w:szCs w:val="16"/>
        </w:rPr>
        <w:t>Source: CCCD Student Information System</w:t>
      </w:r>
    </w:p>
    <w:p w14:paraId="0F9D5F09" w14:textId="67F0C65D" w:rsidR="001A3ECB" w:rsidRPr="00B9364B" w:rsidRDefault="001A3ECB">
      <w:pPr>
        <w:rPr>
          <w:rFonts w:eastAsia="Times New Roman"/>
          <w:bCs/>
          <w:iCs/>
          <w:color w:val="FF0000"/>
          <w:sz w:val="24"/>
          <w:szCs w:val="28"/>
        </w:rPr>
      </w:pPr>
      <w:bookmarkStart w:id="47" w:name="_Toc341183227"/>
    </w:p>
    <w:p w14:paraId="0B3C9110" w14:textId="77777777" w:rsidR="00410E2D" w:rsidRDefault="00410E2D">
      <w:pPr>
        <w:rPr>
          <w:rFonts w:asciiTheme="majorHAnsi" w:eastAsiaTheme="majorEastAsia" w:hAnsiTheme="majorHAnsi" w:cstheme="majorBidi"/>
          <w:b/>
          <w:bCs/>
          <w:color w:val="FF0000"/>
          <w:sz w:val="26"/>
          <w:szCs w:val="26"/>
        </w:rPr>
      </w:pPr>
      <w:r>
        <w:rPr>
          <w:color w:val="FF0000"/>
        </w:rPr>
        <w:br w:type="page"/>
      </w:r>
    </w:p>
    <w:p w14:paraId="0F9D5F0A" w14:textId="0C059E27" w:rsidR="00A82BE8" w:rsidRPr="002E3E1B" w:rsidRDefault="004C1CBB" w:rsidP="007E50D7">
      <w:pPr>
        <w:pStyle w:val="Heading2"/>
        <w:spacing w:before="0"/>
        <w:rPr>
          <w:color w:val="auto"/>
        </w:rPr>
      </w:pPr>
      <w:bookmarkStart w:id="48" w:name="_Toc506217405"/>
      <w:r>
        <w:rPr>
          <w:color w:val="auto"/>
        </w:rPr>
        <w:lastRenderedPageBreak/>
        <w:t xml:space="preserve">Fall to Spring </w:t>
      </w:r>
      <w:r w:rsidR="00446E51" w:rsidRPr="002E3E1B">
        <w:rPr>
          <w:color w:val="auto"/>
        </w:rPr>
        <w:t>Persistence Rates of First-Time, Full-Time Students</w:t>
      </w:r>
      <w:bookmarkEnd w:id="47"/>
      <w:bookmarkEnd w:id="48"/>
    </w:p>
    <w:p w14:paraId="519D368C" w14:textId="5EA009CD" w:rsidR="002E3E1B" w:rsidRPr="002E3E1B" w:rsidRDefault="002E3E1B" w:rsidP="003866F4">
      <w:r w:rsidRPr="002E3E1B">
        <w:t>District-wide, t</w:t>
      </w:r>
      <w:r w:rsidR="002271A9">
        <w:t xml:space="preserve">he </w:t>
      </w:r>
      <w:r w:rsidR="003F683E" w:rsidRPr="002E3E1B">
        <w:t>fall to spring</w:t>
      </w:r>
      <w:r w:rsidR="00DD21D3" w:rsidRPr="002E3E1B">
        <w:t xml:space="preserve"> </w:t>
      </w:r>
      <w:r w:rsidR="00A95345" w:rsidRPr="002E3E1B">
        <w:t>persistence rate</w:t>
      </w:r>
      <w:r w:rsidR="003F683E" w:rsidRPr="002E3E1B">
        <w:t>s</w:t>
      </w:r>
      <w:r w:rsidR="00A95345" w:rsidRPr="002E3E1B">
        <w:t xml:space="preserve"> of first-time, full-time students </w:t>
      </w:r>
      <w:r w:rsidRPr="002E3E1B">
        <w:t>increased to a high of 96</w:t>
      </w:r>
      <w:r w:rsidRPr="003803C2">
        <w:t>% in 2014-15</w:t>
      </w:r>
      <w:r w:rsidR="00EB4D46" w:rsidRPr="003803C2">
        <w:t xml:space="preserve"> and 2016-17</w:t>
      </w:r>
      <w:r w:rsidRPr="003803C2">
        <w:t xml:space="preserve">. The fall to spring rate dipped slightly in 2015-16 to 93%. The increasing trends were similar for each of </w:t>
      </w:r>
      <w:r w:rsidRPr="002E3E1B">
        <w:t xml:space="preserve">the Colleges.  </w:t>
      </w:r>
    </w:p>
    <w:p w14:paraId="6BDAE753" w14:textId="77777777" w:rsidR="002E3E1B" w:rsidRDefault="002E3E1B" w:rsidP="003866F4">
      <w:pPr>
        <w:rPr>
          <w:color w:val="FF0000"/>
        </w:rPr>
      </w:pPr>
    </w:p>
    <w:p w14:paraId="62AFEC32" w14:textId="77777777" w:rsidR="00A95345" w:rsidRPr="00B9364B" w:rsidRDefault="00A95345" w:rsidP="003866F4">
      <w:pPr>
        <w:rPr>
          <w:color w:val="FF0000"/>
        </w:rPr>
      </w:pPr>
    </w:p>
    <w:p w14:paraId="769E4E5D" w14:textId="73DD6D5D" w:rsidR="005055DA" w:rsidRPr="00B9364B" w:rsidRDefault="005055DA" w:rsidP="005055DA">
      <w:pPr>
        <w:autoSpaceDE w:val="0"/>
        <w:autoSpaceDN w:val="0"/>
        <w:adjustRightInd w:val="0"/>
        <w:jc w:val="center"/>
        <w:rPr>
          <w:rFonts w:ascii="Franklin Gothic Book" w:eastAsia="Franklin Gothic Book" w:hAnsi="Franklin Gothic Book" w:cs="Times New Roman"/>
          <w:color w:val="FF0000"/>
        </w:rPr>
      </w:pPr>
      <w:r w:rsidRPr="00B9364B">
        <w:rPr>
          <w:rFonts w:ascii="Calibri" w:eastAsia="Franklin Gothic Book" w:hAnsi="Calibri" w:cs="Times New Roman"/>
          <w:b/>
          <w:noProof/>
          <w:color w:val="FF0000"/>
          <w:sz w:val="20"/>
          <w:szCs w:val="24"/>
        </w:rPr>
        <w:drawing>
          <wp:inline distT="0" distB="0" distL="0" distR="0" wp14:anchorId="3231350E" wp14:editId="5EE13E9A">
            <wp:extent cx="6996223" cy="2838893"/>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83A2E8" w14:textId="77777777" w:rsidR="00690D12" w:rsidRPr="004C1CBB" w:rsidRDefault="003A101D" w:rsidP="003A101D">
      <w:pPr>
        <w:autoSpaceDE w:val="0"/>
        <w:autoSpaceDN w:val="0"/>
        <w:adjustRightInd w:val="0"/>
        <w:rPr>
          <w:sz w:val="16"/>
          <w:szCs w:val="16"/>
        </w:rPr>
      </w:pPr>
      <w:r w:rsidRPr="004C1CBB">
        <w:rPr>
          <w:sz w:val="16"/>
          <w:szCs w:val="16"/>
        </w:rPr>
        <w:t>Source: CCCD Student Information System</w:t>
      </w:r>
    </w:p>
    <w:p w14:paraId="09673DF5" w14:textId="0DCEE01B" w:rsidR="00690D12" w:rsidRPr="00B9364B" w:rsidRDefault="00690D12">
      <w:pPr>
        <w:rPr>
          <w:color w:val="FF0000"/>
          <w:sz w:val="20"/>
          <w:szCs w:val="20"/>
        </w:rPr>
      </w:pPr>
    </w:p>
    <w:p w14:paraId="0F9D5F19" w14:textId="302CDD89" w:rsidR="00446E51" w:rsidRPr="00FB2243" w:rsidRDefault="00446E51" w:rsidP="00BE56FE">
      <w:pPr>
        <w:pStyle w:val="Heading2"/>
        <w:rPr>
          <w:color w:val="auto"/>
        </w:rPr>
      </w:pPr>
      <w:bookmarkStart w:id="49" w:name="_Toc341183228"/>
      <w:bookmarkStart w:id="50" w:name="_Toc506217406"/>
      <w:r w:rsidRPr="00FB2243">
        <w:rPr>
          <w:color w:val="auto"/>
        </w:rPr>
        <w:t>Degrees and Certificates Awarded</w:t>
      </w:r>
      <w:bookmarkEnd w:id="49"/>
      <w:bookmarkEnd w:id="50"/>
    </w:p>
    <w:p w14:paraId="78EA60C6" w14:textId="71D6EB56" w:rsidR="00A95345" w:rsidRPr="003803C2" w:rsidRDefault="00A95345" w:rsidP="00A95345">
      <w:pPr>
        <w:pStyle w:val="ListParagraph"/>
        <w:numPr>
          <w:ilvl w:val="0"/>
          <w:numId w:val="3"/>
        </w:numPr>
        <w:tabs>
          <w:tab w:val="left" w:pos="1210"/>
          <w:tab w:val="left" w:pos="1982"/>
          <w:tab w:val="left" w:pos="3965"/>
          <w:tab w:val="left" w:pos="5158"/>
          <w:tab w:val="left" w:pos="6132"/>
        </w:tabs>
        <w:autoSpaceDE w:val="0"/>
        <w:autoSpaceDN w:val="0"/>
        <w:adjustRightInd w:val="0"/>
        <w:rPr>
          <w:color w:val="auto"/>
          <w:sz w:val="22"/>
        </w:rPr>
      </w:pPr>
      <w:r w:rsidRPr="003803C2">
        <w:rPr>
          <w:color w:val="auto"/>
          <w:sz w:val="22"/>
        </w:rPr>
        <w:t>The total number of degrees awarded di</w:t>
      </w:r>
      <w:r w:rsidR="0007365A" w:rsidRPr="003803C2">
        <w:rPr>
          <w:color w:val="auto"/>
          <w:sz w:val="22"/>
        </w:rPr>
        <w:t xml:space="preserve">strict-wide </w:t>
      </w:r>
      <w:r w:rsidR="004305BD" w:rsidRPr="003803C2">
        <w:rPr>
          <w:color w:val="auto"/>
          <w:sz w:val="22"/>
        </w:rPr>
        <w:t xml:space="preserve">once again </w:t>
      </w:r>
      <w:r w:rsidR="0007365A" w:rsidRPr="003803C2">
        <w:rPr>
          <w:color w:val="auto"/>
          <w:sz w:val="22"/>
        </w:rPr>
        <w:t xml:space="preserve">increased from </w:t>
      </w:r>
      <w:r w:rsidR="00240511" w:rsidRPr="003803C2">
        <w:rPr>
          <w:color w:val="auto"/>
          <w:sz w:val="22"/>
        </w:rPr>
        <w:t>5,</w:t>
      </w:r>
      <w:r w:rsidR="00BD62C8" w:rsidRPr="003803C2">
        <w:rPr>
          <w:color w:val="auto"/>
          <w:sz w:val="22"/>
        </w:rPr>
        <w:t>511</w:t>
      </w:r>
      <w:r w:rsidR="00240511" w:rsidRPr="003803C2">
        <w:rPr>
          <w:color w:val="auto"/>
          <w:sz w:val="22"/>
        </w:rPr>
        <w:t xml:space="preserve"> in 2015-16</w:t>
      </w:r>
      <w:r w:rsidR="001C2391" w:rsidRPr="003803C2">
        <w:rPr>
          <w:color w:val="auto"/>
          <w:sz w:val="22"/>
        </w:rPr>
        <w:t xml:space="preserve"> </w:t>
      </w:r>
      <w:r w:rsidR="0007365A" w:rsidRPr="003803C2">
        <w:rPr>
          <w:color w:val="auto"/>
          <w:sz w:val="22"/>
        </w:rPr>
        <w:t>to</w:t>
      </w:r>
      <w:r w:rsidR="004305BD" w:rsidRPr="003803C2">
        <w:rPr>
          <w:color w:val="auto"/>
          <w:sz w:val="22"/>
        </w:rPr>
        <w:t xml:space="preserve"> a new high of 5</w:t>
      </w:r>
      <w:r w:rsidR="00DB3A6F">
        <w:rPr>
          <w:color w:val="auto"/>
          <w:sz w:val="22"/>
        </w:rPr>
        <w:t>,726</w:t>
      </w:r>
      <w:r w:rsidR="00240511" w:rsidRPr="003803C2">
        <w:rPr>
          <w:color w:val="auto"/>
          <w:sz w:val="22"/>
        </w:rPr>
        <w:t xml:space="preserve"> in 2016-17</w:t>
      </w:r>
      <w:r w:rsidRPr="003803C2">
        <w:rPr>
          <w:color w:val="auto"/>
          <w:sz w:val="22"/>
        </w:rPr>
        <w:t xml:space="preserve">. </w:t>
      </w:r>
    </w:p>
    <w:p w14:paraId="528F87EF" w14:textId="36BF657F" w:rsidR="00A95345" w:rsidRPr="003803C2" w:rsidRDefault="001C2391" w:rsidP="00A95345">
      <w:pPr>
        <w:pStyle w:val="ListParagraph"/>
        <w:numPr>
          <w:ilvl w:val="0"/>
          <w:numId w:val="3"/>
        </w:numPr>
        <w:tabs>
          <w:tab w:val="left" w:pos="1210"/>
          <w:tab w:val="left" w:pos="1982"/>
          <w:tab w:val="left" w:pos="3965"/>
          <w:tab w:val="left" w:pos="5158"/>
          <w:tab w:val="left" w:pos="6132"/>
        </w:tabs>
        <w:autoSpaceDE w:val="0"/>
        <w:autoSpaceDN w:val="0"/>
        <w:adjustRightInd w:val="0"/>
        <w:rPr>
          <w:color w:val="auto"/>
          <w:sz w:val="22"/>
        </w:rPr>
      </w:pPr>
      <w:r w:rsidRPr="003803C2">
        <w:rPr>
          <w:color w:val="auto"/>
          <w:sz w:val="22"/>
        </w:rPr>
        <w:t xml:space="preserve">Orange Coast College </w:t>
      </w:r>
      <w:r w:rsidR="00A95345" w:rsidRPr="003803C2">
        <w:rPr>
          <w:color w:val="auto"/>
          <w:sz w:val="22"/>
        </w:rPr>
        <w:t>degrees awarde</w:t>
      </w:r>
      <w:r w:rsidR="0007365A" w:rsidRPr="003803C2">
        <w:rPr>
          <w:color w:val="auto"/>
          <w:sz w:val="22"/>
        </w:rPr>
        <w:t xml:space="preserve">d </w:t>
      </w:r>
      <w:r w:rsidR="00BD62C8" w:rsidRPr="003803C2">
        <w:rPr>
          <w:color w:val="auto"/>
          <w:sz w:val="22"/>
        </w:rPr>
        <w:t>increased from 2,080 in 2015-16 to 2,1</w:t>
      </w:r>
      <w:r w:rsidR="00A3470B" w:rsidRPr="003803C2">
        <w:rPr>
          <w:color w:val="auto"/>
          <w:sz w:val="22"/>
        </w:rPr>
        <w:t>66</w:t>
      </w:r>
      <w:r w:rsidR="00BD62C8" w:rsidRPr="003803C2">
        <w:rPr>
          <w:color w:val="auto"/>
          <w:sz w:val="22"/>
        </w:rPr>
        <w:t xml:space="preserve"> in 2016-17</w:t>
      </w:r>
      <w:r w:rsidR="0007365A" w:rsidRPr="003803C2">
        <w:rPr>
          <w:color w:val="auto"/>
          <w:sz w:val="22"/>
        </w:rPr>
        <w:t>.</w:t>
      </w:r>
      <w:r w:rsidR="00A95345" w:rsidRPr="003803C2">
        <w:rPr>
          <w:color w:val="auto"/>
          <w:sz w:val="22"/>
        </w:rPr>
        <w:t xml:space="preserve"> </w:t>
      </w:r>
    </w:p>
    <w:p w14:paraId="3AF86390" w14:textId="67A59320" w:rsidR="00A95345" w:rsidRPr="003803C2" w:rsidRDefault="00A95345" w:rsidP="00A95345">
      <w:pPr>
        <w:pStyle w:val="ListParagraph"/>
        <w:numPr>
          <w:ilvl w:val="0"/>
          <w:numId w:val="3"/>
        </w:numPr>
        <w:tabs>
          <w:tab w:val="left" w:pos="1210"/>
          <w:tab w:val="left" w:pos="1982"/>
          <w:tab w:val="left" w:pos="3965"/>
          <w:tab w:val="left" w:pos="5158"/>
          <w:tab w:val="left" w:pos="6132"/>
        </w:tabs>
        <w:autoSpaceDE w:val="0"/>
        <w:autoSpaceDN w:val="0"/>
        <w:adjustRightInd w:val="0"/>
        <w:rPr>
          <w:color w:val="auto"/>
          <w:sz w:val="22"/>
        </w:rPr>
      </w:pPr>
      <w:r w:rsidRPr="003803C2">
        <w:rPr>
          <w:color w:val="auto"/>
          <w:sz w:val="22"/>
        </w:rPr>
        <w:t>Golden West College d</w:t>
      </w:r>
      <w:r w:rsidR="0007365A" w:rsidRPr="003803C2">
        <w:rPr>
          <w:color w:val="auto"/>
          <w:sz w:val="22"/>
        </w:rPr>
        <w:t xml:space="preserve">egrees </w:t>
      </w:r>
      <w:r w:rsidR="001C2391" w:rsidRPr="003803C2">
        <w:rPr>
          <w:color w:val="auto"/>
          <w:sz w:val="22"/>
        </w:rPr>
        <w:t>incr</w:t>
      </w:r>
      <w:r w:rsidR="00FB2243" w:rsidRPr="003803C2">
        <w:rPr>
          <w:color w:val="auto"/>
          <w:sz w:val="22"/>
        </w:rPr>
        <w:t>eas</w:t>
      </w:r>
      <w:r w:rsidR="0007365A" w:rsidRPr="003803C2">
        <w:rPr>
          <w:color w:val="auto"/>
          <w:sz w:val="22"/>
        </w:rPr>
        <w:t xml:space="preserve">ed from </w:t>
      </w:r>
      <w:r w:rsidR="00BD62C8" w:rsidRPr="003803C2">
        <w:rPr>
          <w:color w:val="auto"/>
          <w:sz w:val="22"/>
        </w:rPr>
        <w:t>1,317 in 2015-16</w:t>
      </w:r>
      <w:r w:rsidR="0007365A" w:rsidRPr="003803C2">
        <w:rPr>
          <w:color w:val="auto"/>
          <w:sz w:val="22"/>
        </w:rPr>
        <w:t xml:space="preserve"> to 1,</w:t>
      </w:r>
      <w:r w:rsidR="00BD62C8" w:rsidRPr="003803C2">
        <w:rPr>
          <w:color w:val="auto"/>
          <w:sz w:val="22"/>
        </w:rPr>
        <w:t>4</w:t>
      </w:r>
      <w:r w:rsidR="00A3470B" w:rsidRPr="003803C2">
        <w:rPr>
          <w:color w:val="auto"/>
          <w:sz w:val="22"/>
        </w:rPr>
        <w:t>2</w:t>
      </w:r>
      <w:r w:rsidR="00BD62C8" w:rsidRPr="003803C2">
        <w:rPr>
          <w:color w:val="auto"/>
          <w:sz w:val="22"/>
        </w:rPr>
        <w:t>6 in 2016-17</w:t>
      </w:r>
      <w:r w:rsidR="0007365A" w:rsidRPr="003803C2">
        <w:rPr>
          <w:color w:val="auto"/>
          <w:sz w:val="22"/>
        </w:rPr>
        <w:t>.</w:t>
      </w:r>
    </w:p>
    <w:p w14:paraId="0F9D5F1E" w14:textId="439F1B33" w:rsidR="003D103A" w:rsidRPr="003803C2" w:rsidRDefault="00A95345" w:rsidP="00A95345">
      <w:pPr>
        <w:pStyle w:val="ListParagraph"/>
        <w:numPr>
          <w:ilvl w:val="0"/>
          <w:numId w:val="3"/>
        </w:numPr>
        <w:tabs>
          <w:tab w:val="left" w:pos="1210"/>
          <w:tab w:val="left" w:pos="1982"/>
          <w:tab w:val="left" w:pos="3965"/>
          <w:tab w:val="left" w:pos="5158"/>
          <w:tab w:val="left" w:pos="6132"/>
        </w:tabs>
        <w:autoSpaceDE w:val="0"/>
        <w:autoSpaceDN w:val="0"/>
        <w:adjustRightInd w:val="0"/>
        <w:spacing w:after="0"/>
        <w:rPr>
          <w:color w:val="auto"/>
        </w:rPr>
      </w:pPr>
      <w:r w:rsidRPr="003803C2">
        <w:rPr>
          <w:color w:val="auto"/>
          <w:sz w:val="22"/>
        </w:rPr>
        <w:t xml:space="preserve">Coastline Community College </w:t>
      </w:r>
      <w:r w:rsidR="0007365A" w:rsidRPr="003803C2">
        <w:rPr>
          <w:color w:val="auto"/>
          <w:sz w:val="22"/>
        </w:rPr>
        <w:t xml:space="preserve">degrees increased from </w:t>
      </w:r>
      <w:r w:rsidR="00BD62C8" w:rsidRPr="003803C2">
        <w:rPr>
          <w:color w:val="auto"/>
          <w:sz w:val="22"/>
        </w:rPr>
        <w:t>850</w:t>
      </w:r>
      <w:r w:rsidR="0007365A" w:rsidRPr="003803C2">
        <w:rPr>
          <w:color w:val="auto"/>
          <w:sz w:val="22"/>
        </w:rPr>
        <w:t xml:space="preserve"> </w:t>
      </w:r>
      <w:r w:rsidR="00BD62C8" w:rsidRPr="003803C2">
        <w:rPr>
          <w:color w:val="auto"/>
          <w:sz w:val="22"/>
        </w:rPr>
        <w:t>in 2015</w:t>
      </w:r>
      <w:r w:rsidR="001C2391" w:rsidRPr="003803C2">
        <w:rPr>
          <w:color w:val="auto"/>
          <w:sz w:val="22"/>
        </w:rPr>
        <w:t>-1</w:t>
      </w:r>
      <w:r w:rsidR="00BD62C8" w:rsidRPr="003803C2">
        <w:rPr>
          <w:color w:val="auto"/>
          <w:sz w:val="22"/>
        </w:rPr>
        <w:t>6</w:t>
      </w:r>
      <w:r w:rsidR="001C2391" w:rsidRPr="003803C2">
        <w:rPr>
          <w:color w:val="auto"/>
          <w:sz w:val="22"/>
        </w:rPr>
        <w:t xml:space="preserve"> </w:t>
      </w:r>
      <w:r w:rsidR="0007365A" w:rsidRPr="003803C2">
        <w:rPr>
          <w:color w:val="auto"/>
          <w:sz w:val="22"/>
        </w:rPr>
        <w:t xml:space="preserve">to </w:t>
      </w:r>
      <w:r w:rsidR="00BD62C8" w:rsidRPr="003803C2">
        <w:rPr>
          <w:color w:val="auto"/>
          <w:sz w:val="22"/>
        </w:rPr>
        <w:t>1,037 in 2016-17</w:t>
      </w:r>
      <w:r w:rsidR="00580FBF" w:rsidRPr="003803C2">
        <w:rPr>
          <w:color w:val="auto"/>
          <w:sz w:val="22"/>
        </w:rPr>
        <w:t>, while the Coastli</w:t>
      </w:r>
      <w:r w:rsidR="0007365A" w:rsidRPr="003803C2">
        <w:rPr>
          <w:color w:val="auto"/>
          <w:sz w:val="22"/>
        </w:rPr>
        <w:t xml:space="preserve">ne Military </w:t>
      </w:r>
      <w:r w:rsidR="00BD62C8" w:rsidRPr="003803C2">
        <w:rPr>
          <w:color w:val="auto"/>
          <w:sz w:val="22"/>
        </w:rPr>
        <w:t>de</w:t>
      </w:r>
      <w:r w:rsidR="0007365A" w:rsidRPr="003803C2">
        <w:rPr>
          <w:color w:val="auto"/>
          <w:sz w:val="22"/>
        </w:rPr>
        <w:t>creased from 1,</w:t>
      </w:r>
      <w:r w:rsidR="00BD62C8" w:rsidRPr="003803C2">
        <w:rPr>
          <w:color w:val="auto"/>
          <w:sz w:val="22"/>
        </w:rPr>
        <w:t>264</w:t>
      </w:r>
      <w:r w:rsidR="0007365A" w:rsidRPr="003803C2">
        <w:rPr>
          <w:color w:val="auto"/>
          <w:sz w:val="22"/>
        </w:rPr>
        <w:t xml:space="preserve"> </w:t>
      </w:r>
      <w:r w:rsidR="00BD62C8" w:rsidRPr="003803C2">
        <w:rPr>
          <w:color w:val="auto"/>
          <w:sz w:val="22"/>
        </w:rPr>
        <w:t>in 2015-16</w:t>
      </w:r>
      <w:r w:rsidR="001C2391" w:rsidRPr="003803C2">
        <w:rPr>
          <w:color w:val="auto"/>
          <w:sz w:val="22"/>
        </w:rPr>
        <w:t xml:space="preserve"> </w:t>
      </w:r>
      <w:r w:rsidR="00BD62C8" w:rsidRPr="003803C2">
        <w:rPr>
          <w:color w:val="auto"/>
          <w:sz w:val="22"/>
        </w:rPr>
        <w:t>to 1,197 in 2016-17</w:t>
      </w:r>
      <w:r w:rsidR="00580FBF" w:rsidRPr="003803C2">
        <w:rPr>
          <w:color w:val="auto"/>
          <w:sz w:val="22"/>
        </w:rPr>
        <w:t xml:space="preserve">. </w:t>
      </w:r>
      <w:r w:rsidR="0007365A" w:rsidRPr="003803C2">
        <w:rPr>
          <w:color w:val="auto"/>
          <w:sz w:val="22"/>
        </w:rPr>
        <w:t xml:space="preserve"> </w:t>
      </w:r>
    </w:p>
    <w:p w14:paraId="1F3991D3" w14:textId="77777777" w:rsidR="00A95345" w:rsidRPr="003803C2" w:rsidRDefault="00A95345" w:rsidP="00A95345">
      <w:pPr>
        <w:pStyle w:val="ListParagraph"/>
        <w:tabs>
          <w:tab w:val="left" w:pos="1210"/>
          <w:tab w:val="left" w:pos="1982"/>
          <w:tab w:val="left" w:pos="3965"/>
          <w:tab w:val="left" w:pos="5158"/>
          <w:tab w:val="left" w:pos="6132"/>
        </w:tabs>
        <w:autoSpaceDE w:val="0"/>
        <w:autoSpaceDN w:val="0"/>
        <w:adjustRightInd w:val="0"/>
        <w:spacing w:after="0"/>
        <w:ind w:firstLine="0"/>
        <w:rPr>
          <w:color w:val="auto"/>
        </w:rPr>
      </w:pPr>
    </w:p>
    <w:p w14:paraId="0F9D5F21" w14:textId="26C75D77" w:rsidR="00CE5535" w:rsidRPr="00B9364B" w:rsidRDefault="005F6B21" w:rsidP="006E6559">
      <w:pPr>
        <w:autoSpaceDE w:val="0"/>
        <w:autoSpaceDN w:val="0"/>
        <w:adjustRightInd w:val="0"/>
        <w:jc w:val="center"/>
        <w:rPr>
          <w:color w:val="FF0000"/>
        </w:rPr>
      </w:pPr>
      <w:r w:rsidRPr="00B9364B">
        <w:rPr>
          <w:rFonts w:ascii="Calibri" w:hAnsi="Calibri"/>
          <w:b/>
          <w:noProof/>
          <w:color w:val="FF0000"/>
          <w:sz w:val="20"/>
          <w:szCs w:val="20"/>
        </w:rPr>
        <w:lastRenderedPageBreak/>
        <w:drawing>
          <wp:inline distT="0" distB="0" distL="0" distR="0" wp14:anchorId="448A0A3C" wp14:editId="0C1C8106">
            <wp:extent cx="7017488" cy="2488019"/>
            <wp:effectExtent l="0" t="0" r="0" b="762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2E1913" w14:textId="77777777" w:rsidR="000B3E8C" w:rsidRPr="00B9364B" w:rsidRDefault="000B3E8C" w:rsidP="001A247B">
      <w:pPr>
        <w:autoSpaceDE w:val="0"/>
        <w:autoSpaceDN w:val="0"/>
        <w:adjustRightInd w:val="0"/>
        <w:rPr>
          <w:color w:val="FF0000"/>
          <w:sz w:val="16"/>
          <w:szCs w:val="16"/>
        </w:rPr>
      </w:pPr>
    </w:p>
    <w:p w14:paraId="0F9D5F22" w14:textId="26D31C68" w:rsidR="00CE5535" w:rsidRPr="00FB2243" w:rsidRDefault="00CE5535" w:rsidP="001A247B">
      <w:pPr>
        <w:autoSpaceDE w:val="0"/>
        <w:autoSpaceDN w:val="0"/>
        <w:adjustRightInd w:val="0"/>
        <w:rPr>
          <w:sz w:val="16"/>
          <w:szCs w:val="16"/>
        </w:rPr>
      </w:pPr>
      <w:r w:rsidRPr="00FB2243">
        <w:rPr>
          <w:sz w:val="16"/>
          <w:szCs w:val="16"/>
        </w:rPr>
        <w:t xml:space="preserve">Source: </w:t>
      </w:r>
      <w:r w:rsidR="000B73F3" w:rsidRPr="00FB2243">
        <w:rPr>
          <w:sz w:val="16"/>
          <w:szCs w:val="16"/>
        </w:rPr>
        <w:t>Program Review Degrees &amp; Certificates Awarded Cube</w:t>
      </w:r>
    </w:p>
    <w:p w14:paraId="0F9D5F23" w14:textId="77777777" w:rsidR="00FB7840" w:rsidRPr="00B9364B" w:rsidRDefault="00FB7840" w:rsidP="001A247B">
      <w:pPr>
        <w:autoSpaceDE w:val="0"/>
        <w:autoSpaceDN w:val="0"/>
        <w:adjustRightInd w:val="0"/>
        <w:rPr>
          <w:color w:val="FF0000"/>
          <w:sz w:val="20"/>
          <w:szCs w:val="20"/>
        </w:rPr>
      </w:pPr>
    </w:p>
    <w:p w14:paraId="0F9D5F24" w14:textId="3CA0479D" w:rsidR="00FB7840" w:rsidRPr="00FB2243" w:rsidRDefault="00A95345" w:rsidP="00E94063">
      <w:pPr>
        <w:autoSpaceDE w:val="0"/>
        <w:autoSpaceDN w:val="0"/>
        <w:adjustRightInd w:val="0"/>
      </w:pPr>
      <w:r w:rsidRPr="00FB2243">
        <w:t>The number of certificates</w:t>
      </w:r>
      <w:r w:rsidR="002379D3" w:rsidRPr="00FB2243">
        <w:t xml:space="preserve"> of achievement</w:t>
      </w:r>
      <w:r w:rsidR="00F91E07">
        <w:t xml:space="preserve"> awarded, d</w:t>
      </w:r>
      <w:r w:rsidRPr="00FB2243">
        <w:t xml:space="preserve">istrict-wide, increased significantly over the last five </w:t>
      </w:r>
      <w:r w:rsidRPr="003803C2">
        <w:t>years. Golden West</w:t>
      </w:r>
      <w:r w:rsidR="00ED413E" w:rsidRPr="003803C2">
        <w:t xml:space="preserve"> showed an upward trend while Coastline decreased slightly from 2014-15 to 2016-17</w:t>
      </w:r>
      <w:r w:rsidRPr="003803C2">
        <w:t>. Orange Coast’s number</w:t>
      </w:r>
      <w:r w:rsidR="004A4EB5" w:rsidRPr="003803C2">
        <w:t xml:space="preserve"> of </w:t>
      </w:r>
      <w:r w:rsidR="004A4EB5" w:rsidRPr="00FB2243">
        <w:t>certificates increased</w:t>
      </w:r>
      <w:r w:rsidR="00614A63" w:rsidRPr="00FB2243">
        <w:t xml:space="preserve"> drama</w:t>
      </w:r>
      <w:r w:rsidR="004A4EB5" w:rsidRPr="00FB2243">
        <w:t>tically in 2014-15</w:t>
      </w:r>
      <w:r w:rsidR="00846334">
        <w:t>, when for the first time, students could receive a CSU Breadth or IGETC certificate</w:t>
      </w:r>
      <w:r w:rsidRPr="00FB2243">
        <w:t>.</w:t>
      </w:r>
      <w:r w:rsidR="002379D3" w:rsidRPr="00FB2243">
        <w:t xml:space="preserve"> Each college awards local certificates of specialization, which </w:t>
      </w:r>
      <w:r w:rsidR="00FB2243" w:rsidRPr="00FB2243">
        <w:t xml:space="preserve">traditionally </w:t>
      </w:r>
      <w:r w:rsidR="002379D3" w:rsidRPr="00FB2243">
        <w:t xml:space="preserve">are not reported to the </w:t>
      </w:r>
      <w:r w:rsidR="00F91E07">
        <w:t>State Chancellor’s Office</w:t>
      </w:r>
      <w:r w:rsidR="002379D3" w:rsidRPr="00FB2243">
        <w:t xml:space="preserve"> and </w:t>
      </w:r>
      <w:r w:rsidR="00FB2243" w:rsidRPr="00FB2243">
        <w:t xml:space="preserve">are not </w:t>
      </w:r>
      <w:r w:rsidR="002379D3" w:rsidRPr="00FB2243">
        <w:t>reflected in the counts below.</w:t>
      </w:r>
    </w:p>
    <w:p w14:paraId="5D386425" w14:textId="77777777" w:rsidR="005C569A" w:rsidRPr="00B9364B" w:rsidRDefault="005C569A" w:rsidP="00E94063">
      <w:pPr>
        <w:autoSpaceDE w:val="0"/>
        <w:autoSpaceDN w:val="0"/>
        <w:adjustRightInd w:val="0"/>
        <w:rPr>
          <w:color w:val="FF0000"/>
        </w:rPr>
      </w:pPr>
    </w:p>
    <w:p w14:paraId="6B947B5C" w14:textId="05945C6B" w:rsidR="00E94063" w:rsidRPr="00B9364B" w:rsidRDefault="00DF108D" w:rsidP="005B2A04">
      <w:pPr>
        <w:autoSpaceDE w:val="0"/>
        <w:autoSpaceDN w:val="0"/>
        <w:adjustRightInd w:val="0"/>
        <w:rPr>
          <w:color w:val="FF0000"/>
          <w:sz w:val="16"/>
          <w:szCs w:val="16"/>
        </w:rPr>
      </w:pPr>
      <w:r w:rsidRPr="00B9364B">
        <w:rPr>
          <w:rFonts w:ascii="Calibri" w:eastAsia="Franklin Gothic Book" w:hAnsi="Calibri" w:cs="Times New Roman"/>
          <w:b/>
          <w:noProof/>
          <w:color w:val="FF0000"/>
          <w:sz w:val="20"/>
          <w:szCs w:val="20"/>
        </w:rPr>
        <w:drawing>
          <wp:inline distT="0" distB="0" distL="0" distR="0" wp14:anchorId="72B5964A" wp14:editId="5CB4D577">
            <wp:extent cx="6996224" cy="2594344"/>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9D5F28" w14:textId="51CA3063" w:rsidR="009E20D6" w:rsidRPr="00FB2243" w:rsidRDefault="00CE5535" w:rsidP="00DF108D">
      <w:pPr>
        <w:autoSpaceDE w:val="0"/>
        <w:autoSpaceDN w:val="0"/>
        <w:adjustRightInd w:val="0"/>
        <w:rPr>
          <w:sz w:val="16"/>
          <w:szCs w:val="16"/>
        </w:rPr>
      </w:pPr>
      <w:r w:rsidRPr="00FB2243">
        <w:rPr>
          <w:sz w:val="16"/>
          <w:szCs w:val="16"/>
        </w:rPr>
        <w:t xml:space="preserve">Source: </w:t>
      </w:r>
      <w:bookmarkStart w:id="51" w:name="_Toc341183229"/>
      <w:r w:rsidR="009A2C8F" w:rsidRPr="00FB2243">
        <w:rPr>
          <w:sz w:val="16"/>
          <w:szCs w:val="16"/>
        </w:rPr>
        <w:t xml:space="preserve"> Program Review Degrees &amp; Certificates Awarded Cube</w:t>
      </w:r>
    </w:p>
    <w:p w14:paraId="40FDB7E7" w14:textId="77777777" w:rsidR="00D45CCA" w:rsidRDefault="00D45CCA" w:rsidP="00DF108D">
      <w:pPr>
        <w:autoSpaceDE w:val="0"/>
        <w:autoSpaceDN w:val="0"/>
        <w:adjustRightInd w:val="0"/>
        <w:rPr>
          <w:color w:val="FF0000"/>
          <w:sz w:val="16"/>
          <w:szCs w:val="16"/>
        </w:rPr>
      </w:pPr>
    </w:p>
    <w:p w14:paraId="5A5743A8" w14:textId="77777777" w:rsidR="004C1CBB" w:rsidRPr="00B9364B" w:rsidRDefault="004C1CBB" w:rsidP="00DF108D">
      <w:pPr>
        <w:autoSpaceDE w:val="0"/>
        <w:autoSpaceDN w:val="0"/>
        <w:adjustRightInd w:val="0"/>
        <w:rPr>
          <w:color w:val="FF0000"/>
          <w:sz w:val="16"/>
          <w:szCs w:val="16"/>
        </w:rPr>
      </w:pPr>
    </w:p>
    <w:p w14:paraId="0F9D5F29" w14:textId="4D2A45DA" w:rsidR="00364203" w:rsidRPr="002C53F3" w:rsidRDefault="004A27C3" w:rsidP="00DF108D">
      <w:pPr>
        <w:pStyle w:val="Heading2"/>
        <w:spacing w:before="0"/>
        <w:rPr>
          <w:color w:val="auto"/>
        </w:rPr>
      </w:pPr>
      <w:bookmarkStart w:id="52" w:name="_Toc506217407"/>
      <w:r>
        <w:rPr>
          <w:color w:val="auto"/>
        </w:rPr>
        <w:t xml:space="preserve">Annual </w:t>
      </w:r>
      <w:r w:rsidR="00364203" w:rsidRPr="002C53F3">
        <w:rPr>
          <w:color w:val="auto"/>
        </w:rPr>
        <w:t>Transfer</w:t>
      </w:r>
      <w:r w:rsidR="00432EC2" w:rsidRPr="002C53F3">
        <w:rPr>
          <w:color w:val="auto"/>
        </w:rPr>
        <w:t xml:space="preserve">s to UC </w:t>
      </w:r>
      <w:r w:rsidR="00D4505A" w:rsidRPr="002C53F3">
        <w:rPr>
          <w:color w:val="auto"/>
        </w:rPr>
        <w:t xml:space="preserve">and </w:t>
      </w:r>
      <w:r w:rsidR="006967A1" w:rsidRPr="002C53F3">
        <w:rPr>
          <w:color w:val="auto"/>
        </w:rPr>
        <w:t>CSU</w:t>
      </w:r>
      <w:bookmarkEnd w:id="51"/>
      <w:bookmarkEnd w:id="52"/>
    </w:p>
    <w:p w14:paraId="0F9D5F2C" w14:textId="0A3D694B" w:rsidR="004417E0" w:rsidRPr="006B55D5" w:rsidRDefault="004A27C3" w:rsidP="003D103A">
      <w:pPr>
        <w:autoSpaceDE w:val="0"/>
        <w:autoSpaceDN w:val="0"/>
        <w:adjustRightInd w:val="0"/>
      </w:pPr>
      <w:r>
        <w:t xml:space="preserve">Annual </w:t>
      </w:r>
      <w:r w:rsidR="00186434" w:rsidRPr="006B55D5">
        <w:t>transfers</w:t>
      </w:r>
      <w:r w:rsidR="004417E0" w:rsidRPr="006B55D5">
        <w:t xml:space="preserve"> </w:t>
      </w:r>
      <w:r>
        <w:t>to UC</w:t>
      </w:r>
    </w:p>
    <w:p w14:paraId="29BFAB66" w14:textId="799921D2" w:rsidR="00A95345" w:rsidRPr="003803C2" w:rsidRDefault="004417E0" w:rsidP="00A95345">
      <w:pPr>
        <w:pStyle w:val="ListParagraph"/>
        <w:numPr>
          <w:ilvl w:val="0"/>
          <w:numId w:val="3"/>
        </w:numPr>
        <w:autoSpaceDE w:val="0"/>
        <w:autoSpaceDN w:val="0"/>
        <w:adjustRightInd w:val="0"/>
        <w:spacing w:after="0"/>
        <w:rPr>
          <w:color w:val="auto"/>
          <w:sz w:val="22"/>
        </w:rPr>
      </w:pPr>
      <w:r w:rsidRPr="006B55D5">
        <w:rPr>
          <w:color w:val="auto"/>
          <w:sz w:val="22"/>
        </w:rPr>
        <w:t>Orange Coast College UC</w:t>
      </w:r>
      <w:r w:rsidR="00A95345" w:rsidRPr="006B55D5">
        <w:rPr>
          <w:color w:val="auto"/>
          <w:sz w:val="22"/>
        </w:rPr>
        <w:t xml:space="preserve"> annual</w:t>
      </w:r>
      <w:r w:rsidRPr="006B55D5">
        <w:rPr>
          <w:color w:val="auto"/>
          <w:sz w:val="22"/>
        </w:rPr>
        <w:t xml:space="preserve"> </w:t>
      </w:r>
      <w:r w:rsidRPr="003803C2">
        <w:rPr>
          <w:color w:val="auto"/>
          <w:sz w:val="22"/>
        </w:rPr>
        <w:t>transfers</w:t>
      </w:r>
      <w:r w:rsidR="00A95345" w:rsidRPr="003803C2">
        <w:rPr>
          <w:color w:val="auto"/>
          <w:sz w:val="22"/>
        </w:rPr>
        <w:t xml:space="preserve"> </w:t>
      </w:r>
      <w:r w:rsidR="003E0719" w:rsidRPr="003803C2">
        <w:rPr>
          <w:color w:val="auto"/>
          <w:sz w:val="22"/>
        </w:rPr>
        <w:t>increased from 393 in 2015-16 to 415 in 2016-17</w:t>
      </w:r>
      <w:r w:rsidRPr="003803C2">
        <w:rPr>
          <w:color w:val="auto"/>
          <w:sz w:val="22"/>
        </w:rPr>
        <w:t>.</w:t>
      </w:r>
    </w:p>
    <w:p w14:paraId="0F9D5F2E" w14:textId="405B146E" w:rsidR="004417E0" w:rsidRPr="003803C2" w:rsidRDefault="00A95345" w:rsidP="00A95345">
      <w:pPr>
        <w:pStyle w:val="ListParagraph"/>
        <w:numPr>
          <w:ilvl w:val="0"/>
          <w:numId w:val="3"/>
        </w:numPr>
        <w:autoSpaceDE w:val="0"/>
        <w:autoSpaceDN w:val="0"/>
        <w:adjustRightInd w:val="0"/>
        <w:spacing w:after="0"/>
        <w:rPr>
          <w:color w:val="auto"/>
          <w:sz w:val="22"/>
        </w:rPr>
      </w:pPr>
      <w:r w:rsidRPr="003803C2">
        <w:rPr>
          <w:color w:val="auto"/>
          <w:sz w:val="22"/>
        </w:rPr>
        <w:t>Golde</w:t>
      </w:r>
      <w:r w:rsidR="004417E0" w:rsidRPr="003803C2">
        <w:rPr>
          <w:color w:val="auto"/>
          <w:sz w:val="22"/>
        </w:rPr>
        <w:t xml:space="preserve">n West College </w:t>
      </w:r>
      <w:r w:rsidRPr="003803C2">
        <w:rPr>
          <w:color w:val="auto"/>
          <w:sz w:val="22"/>
        </w:rPr>
        <w:t>UC annual tran</w:t>
      </w:r>
      <w:r w:rsidR="003E0719" w:rsidRPr="003803C2">
        <w:rPr>
          <w:color w:val="auto"/>
          <w:sz w:val="22"/>
        </w:rPr>
        <w:t>sfers varied between a low of 111</w:t>
      </w:r>
      <w:r w:rsidRPr="003803C2">
        <w:rPr>
          <w:color w:val="auto"/>
          <w:sz w:val="22"/>
        </w:rPr>
        <w:t xml:space="preserve"> </w:t>
      </w:r>
      <w:r w:rsidR="003E0719" w:rsidRPr="003803C2">
        <w:rPr>
          <w:color w:val="auto"/>
          <w:sz w:val="22"/>
        </w:rPr>
        <w:t>in 2012-13</w:t>
      </w:r>
      <w:r w:rsidR="006B55D5" w:rsidRPr="003803C2">
        <w:rPr>
          <w:color w:val="auto"/>
          <w:sz w:val="22"/>
        </w:rPr>
        <w:t xml:space="preserve"> </w:t>
      </w:r>
      <w:r w:rsidRPr="003803C2">
        <w:rPr>
          <w:color w:val="auto"/>
          <w:sz w:val="22"/>
        </w:rPr>
        <w:t xml:space="preserve">and a high of </w:t>
      </w:r>
      <w:r w:rsidR="00CA5DF0" w:rsidRPr="003803C2">
        <w:rPr>
          <w:color w:val="auto"/>
          <w:sz w:val="22"/>
        </w:rPr>
        <w:t>136</w:t>
      </w:r>
      <w:r w:rsidR="00581B86" w:rsidRPr="003803C2">
        <w:rPr>
          <w:color w:val="auto"/>
          <w:sz w:val="22"/>
        </w:rPr>
        <w:t xml:space="preserve"> in 2014-15</w:t>
      </w:r>
      <w:r w:rsidRPr="003803C2">
        <w:rPr>
          <w:color w:val="auto"/>
          <w:sz w:val="22"/>
        </w:rPr>
        <w:t>.</w:t>
      </w:r>
    </w:p>
    <w:p w14:paraId="0F9D5F2F" w14:textId="37CB7F9F" w:rsidR="004417E0" w:rsidRPr="003803C2" w:rsidRDefault="004417E0" w:rsidP="004417E0">
      <w:pPr>
        <w:pStyle w:val="ListParagraph"/>
        <w:numPr>
          <w:ilvl w:val="0"/>
          <w:numId w:val="3"/>
        </w:numPr>
        <w:autoSpaceDE w:val="0"/>
        <w:autoSpaceDN w:val="0"/>
        <w:adjustRightInd w:val="0"/>
        <w:spacing w:after="0"/>
        <w:rPr>
          <w:color w:val="auto"/>
          <w:sz w:val="22"/>
        </w:rPr>
      </w:pPr>
      <w:r w:rsidRPr="003803C2">
        <w:rPr>
          <w:color w:val="auto"/>
          <w:sz w:val="22"/>
        </w:rPr>
        <w:lastRenderedPageBreak/>
        <w:t xml:space="preserve">Coastline </w:t>
      </w:r>
      <w:r w:rsidR="00EB0957" w:rsidRPr="003803C2">
        <w:rPr>
          <w:color w:val="auto"/>
          <w:sz w:val="22"/>
        </w:rPr>
        <w:t xml:space="preserve">Community </w:t>
      </w:r>
      <w:r w:rsidR="004A4EB5" w:rsidRPr="003803C2">
        <w:rPr>
          <w:color w:val="auto"/>
          <w:sz w:val="22"/>
        </w:rPr>
        <w:t>College</w:t>
      </w:r>
      <w:r w:rsidRPr="003803C2">
        <w:rPr>
          <w:color w:val="auto"/>
          <w:sz w:val="22"/>
        </w:rPr>
        <w:t xml:space="preserve"> </w:t>
      </w:r>
      <w:r w:rsidR="00A95345" w:rsidRPr="003803C2">
        <w:rPr>
          <w:color w:val="auto"/>
          <w:sz w:val="22"/>
        </w:rPr>
        <w:t xml:space="preserve">UC annual transfers varied between a low of </w:t>
      </w:r>
      <w:r w:rsidR="00556D40" w:rsidRPr="003803C2">
        <w:rPr>
          <w:color w:val="auto"/>
          <w:sz w:val="22"/>
        </w:rPr>
        <w:t>14</w:t>
      </w:r>
      <w:r w:rsidR="00A95345" w:rsidRPr="003803C2">
        <w:rPr>
          <w:color w:val="auto"/>
          <w:sz w:val="22"/>
        </w:rPr>
        <w:t xml:space="preserve"> </w:t>
      </w:r>
      <w:r w:rsidR="00581B86" w:rsidRPr="003803C2">
        <w:rPr>
          <w:color w:val="auto"/>
          <w:sz w:val="22"/>
        </w:rPr>
        <w:t xml:space="preserve">in 2012-13 </w:t>
      </w:r>
      <w:r w:rsidR="00A95345" w:rsidRPr="003803C2">
        <w:rPr>
          <w:color w:val="auto"/>
          <w:sz w:val="22"/>
        </w:rPr>
        <w:t xml:space="preserve">and a </w:t>
      </w:r>
      <w:r w:rsidR="00581B86" w:rsidRPr="003803C2">
        <w:rPr>
          <w:color w:val="auto"/>
          <w:sz w:val="22"/>
        </w:rPr>
        <w:t>h</w:t>
      </w:r>
      <w:r w:rsidR="00A95345" w:rsidRPr="003803C2">
        <w:rPr>
          <w:color w:val="auto"/>
          <w:sz w:val="22"/>
        </w:rPr>
        <w:t xml:space="preserve">igh of </w:t>
      </w:r>
      <w:r w:rsidR="00556D40" w:rsidRPr="003803C2">
        <w:rPr>
          <w:color w:val="auto"/>
          <w:sz w:val="22"/>
        </w:rPr>
        <w:t>24</w:t>
      </w:r>
      <w:r w:rsidR="00581B86" w:rsidRPr="003803C2">
        <w:rPr>
          <w:color w:val="auto"/>
          <w:sz w:val="22"/>
        </w:rPr>
        <w:t xml:space="preserve"> in 2015-16</w:t>
      </w:r>
      <w:r w:rsidR="003E0719" w:rsidRPr="003803C2">
        <w:rPr>
          <w:color w:val="auto"/>
          <w:sz w:val="22"/>
        </w:rPr>
        <w:t xml:space="preserve"> and 2016-17</w:t>
      </w:r>
      <w:r w:rsidR="00A95345" w:rsidRPr="003803C2">
        <w:rPr>
          <w:color w:val="auto"/>
          <w:sz w:val="22"/>
        </w:rPr>
        <w:t>.</w:t>
      </w:r>
    </w:p>
    <w:p w14:paraId="4CE11471" w14:textId="77777777" w:rsidR="006B0C11" w:rsidRPr="00B9364B" w:rsidRDefault="006B0C11" w:rsidP="00534765">
      <w:pPr>
        <w:rPr>
          <w:color w:val="FF0000"/>
        </w:rPr>
      </w:pPr>
    </w:p>
    <w:p w14:paraId="66E79989" w14:textId="56CE63FF" w:rsidR="00534765" w:rsidRPr="00B9364B" w:rsidRDefault="00534765" w:rsidP="00690D12">
      <w:pPr>
        <w:autoSpaceDE w:val="0"/>
        <w:autoSpaceDN w:val="0"/>
        <w:adjustRightInd w:val="0"/>
        <w:rPr>
          <w:color w:val="FF0000"/>
          <w:sz w:val="16"/>
          <w:szCs w:val="16"/>
        </w:rPr>
      </w:pPr>
      <w:r w:rsidRPr="00B9364B">
        <w:rPr>
          <w:rFonts w:ascii="Calibri" w:hAnsi="Calibri"/>
          <w:b/>
          <w:noProof/>
          <w:color w:val="FF0000"/>
          <w:sz w:val="20"/>
          <w:szCs w:val="20"/>
        </w:rPr>
        <w:drawing>
          <wp:inline distT="0" distB="0" distL="0" distR="0" wp14:anchorId="46DF01C6" wp14:editId="2DDE2CC2">
            <wp:extent cx="6978769" cy="2061713"/>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C37A8A" w14:textId="77777777" w:rsidR="00DD769F" w:rsidRPr="00B9364B" w:rsidRDefault="00DD769F" w:rsidP="00690D12">
      <w:pPr>
        <w:autoSpaceDE w:val="0"/>
        <w:autoSpaceDN w:val="0"/>
        <w:adjustRightInd w:val="0"/>
        <w:rPr>
          <w:color w:val="FF0000"/>
          <w:sz w:val="16"/>
          <w:szCs w:val="16"/>
        </w:rPr>
      </w:pPr>
    </w:p>
    <w:p w14:paraId="0F9D5F3C" w14:textId="428A0511" w:rsidR="00432EC2" w:rsidRDefault="006D4D54" w:rsidP="00690D12">
      <w:pPr>
        <w:autoSpaceDE w:val="0"/>
        <w:autoSpaceDN w:val="0"/>
        <w:adjustRightInd w:val="0"/>
        <w:rPr>
          <w:sz w:val="16"/>
          <w:szCs w:val="16"/>
        </w:rPr>
      </w:pPr>
      <w:r w:rsidRPr="004714A0">
        <w:rPr>
          <w:sz w:val="16"/>
          <w:szCs w:val="16"/>
        </w:rPr>
        <w:t>Source:  CCCCO Data</w:t>
      </w:r>
      <w:r w:rsidR="00DD6A5C" w:rsidRPr="004714A0">
        <w:rPr>
          <w:sz w:val="16"/>
          <w:szCs w:val="16"/>
        </w:rPr>
        <w:t xml:space="preserve"> Transfer Resources</w:t>
      </w:r>
      <w:r w:rsidR="007D0296" w:rsidRPr="004714A0">
        <w:rPr>
          <w:sz w:val="16"/>
          <w:szCs w:val="16"/>
        </w:rPr>
        <w:t>.</w:t>
      </w:r>
    </w:p>
    <w:p w14:paraId="76801E23" w14:textId="77777777" w:rsidR="004C1CBB" w:rsidRPr="004714A0" w:rsidRDefault="004C1CBB" w:rsidP="00690D12">
      <w:pPr>
        <w:autoSpaceDE w:val="0"/>
        <w:autoSpaceDN w:val="0"/>
        <w:adjustRightInd w:val="0"/>
        <w:rPr>
          <w:bCs/>
          <w:iCs/>
          <w:sz w:val="16"/>
          <w:szCs w:val="16"/>
        </w:rPr>
      </w:pPr>
    </w:p>
    <w:p w14:paraId="11E5BAAB" w14:textId="647D0CA0" w:rsidR="004C1CBB" w:rsidRPr="00D60C56" w:rsidRDefault="004A27C3" w:rsidP="004C1CBB">
      <w:pPr>
        <w:autoSpaceDE w:val="0"/>
        <w:autoSpaceDN w:val="0"/>
        <w:adjustRightInd w:val="0"/>
      </w:pPr>
      <w:r>
        <w:t>Annual</w:t>
      </w:r>
      <w:r w:rsidR="004C1CBB" w:rsidRPr="00D60C56">
        <w:t xml:space="preserve"> transfers </w:t>
      </w:r>
      <w:r>
        <w:t>to CSU</w:t>
      </w:r>
    </w:p>
    <w:p w14:paraId="3536F3E9" w14:textId="3FAB2D60" w:rsidR="004C1CBB" w:rsidRPr="00DA1518" w:rsidRDefault="004C1CBB" w:rsidP="004C1CBB">
      <w:pPr>
        <w:pStyle w:val="ListParagraph"/>
        <w:numPr>
          <w:ilvl w:val="0"/>
          <w:numId w:val="3"/>
        </w:numPr>
        <w:autoSpaceDE w:val="0"/>
        <w:autoSpaceDN w:val="0"/>
        <w:adjustRightInd w:val="0"/>
        <w:spacing w:after="0"/>
        <w:rPr>
          <w:color w:val="auto"/>
          <w:sz w:val="22"/>
        </w:rPr>
      </w:pPr>
      <w:r w:rsidRPr="00DA1518">
        <w:rPr>
          <w:color w:val="auto"/>
          <w:sz w:val="22"/>
        </w:rPr>
        <w:t>Orange Coast College CSU annual transfers varied between a low of 1,207</w:t>
      </w:r>
      <w:r w:rsidR="00857975" w:rsidRPr="00DA1518">
        <w:rPr>
          <w:color w:val="auto"/>
          <w:sz w:val="22"/>
        </w:rPr>
        <w:t xml:space="preserve"> in 2012-13</w:t>
      </w:r>
      <w:r w:rsidRPr="00DA1518">
        <w:rPr>
          <w:color w:val="auto"/>
          <w:sz w:val="22"/>
        </w:rPr>
        <w:t xml:space="preserve"> an</w:t>
      </w:r>
      <w:r w:rsidR="00DA039C" w:rsidRPr="00DA1518">
        <w:rPr>
          <w:color w:val="auto"/>
          <w:sz w:val="22"/>
        </w:rPr>
        <w:t>d a high of 1,474 in 2015-16</w:t>
      </w:r>
      <w:r w:rsidRPr="00DA1518">
        <w:rPr>
          <w:color w:val="auto"/>
          <w:sz w:val="22"/>
        </w:rPr>
        <w:t>.</w:t>
      </w:r>
    </w:p>
    <w:p w14:paraId="1837F78E" w14:textId="3B562371" w:rsidR="004C1CBB" w:rsidRPr="004A27C3" w:rsidRDefault="004C1CBB" w:rsidP="004C1CBB">
      <w:pPr>
        <w:pStyle w:val="ListParagraph"/>
        <w:numPr>
          <w:ilvl w:val="0"/>
          <w:numId w:val="3"/>
        </w:numPr>
        <w:autoSpaceDE w:val="0"/>
        <w:autoSpaceDN w:val="0"/>
        <w:adjustRightInd w:val="0"/>
        <w:spacing w:after="0"/>
        <w:rPr>
          <w:color w:val="auto"/>
          <w:sz w:val="22"/>
        </w:rPr>
      </w:pPr>
      <w:r w:rsidRPr="004A27C3">
        <w:rPr>
          <w:color w:val="auto"/>
          <w:sz w:val="22"/>
        </w:rPr>
        <w:t xml:space="preserve">Golden West College CSU annual transfers varied between a low of 549 </w:t>
      </w:r>
      <w:r w:rsidR="00857975" w:rsidRPr="004A27C3">
        <w:rPr>
          <w:color w:val="auto"/>
          <w:sz w:val="22"/>
        </w:rPr>
        <w:t xml:space="preserve">in 2012-13 </w:t>
      </w:r>
      <w:r w:rsidR="00DA039C" w:rsidRPr="003803C2">
        <w:rPr>
          <w:color w:val="auto"/>
          <w:sz w:val="22"/>
        </w:rPr>
        <w:t>and a high of 843</w:t>
      </w:r>
      <w:r w:rsidR="00857975" w:rsidRPr="003803C2">
        <w:rPr>
          <w:color w:val="auto"/>
          <w:sz w:val="22"/>
        </w:rPr>
        <w:t xml:space="preserve"> in</w:t>
      </w:r>
      <w:r w:rsidR="00DA039C" w:rsidRPr="003803C2">
        <w:rPr>
          <w:color w:val="auto"/>
          <w:sz w:val="22"/>
        </w:rPr>
        <w:t xml:space="preserve"> 2016-17</w:t>
      </w:r>
      <w:r w:rsidR="00857975" w:rsidRPr="003803C2">
        <w:rPr>
          <w:color w:val="auto"/>
          <w:sz w:val="22"/>
        </w:rPr>
        <w:t xml:space="preserve">, </w:t>
      </w:r>
      <w:r w:rsidR="00857975" w:rsidRPr="004A27C3">
        <w:rPr>
          <w:color w:val="auto"/>
          <w:sz w:val="22"/>
        </w:rPr>
        <w:t>the highest level over the five-year period</w:t>
      </w:r>
      <w:r w:rsidRPr="004A27C3">
        <w:rPr>
          <w:color w:val="auto"/>
          <w:sz w:val="22"/>
        </w:rPr>
        <w:t>.</w:t>
      </w:r>
    </w:p>
    <w:p w14:paraId="3620C81F" w14:textId="48AE39A1" w:rsidR="004C1CBB" w:rsidRPr="004A27C3" w:rsidRDefault="004C1CBB" w:rsidP="004C1CBB">
      <w:pPr>
        <w:pStyle w:val="ListParagraph"/>
        <w:numPr>
          <w:ilvl w:val="0"/>
          <w:numId w:val="3"/>
        </w:numPr>
        <w:autoSpaceDE w:val="0"/>
        <w:autoSpaceDN w:val="0"/>
        <w:adjustRightInd w:val="0"/>
        <w:spacing w:after="0"/>
        <w:rPr>
          <w:color w:val="auto"/>
          <w:sz w:val="22"/>
        </w:rPr>
      </w:pPr>
      <w:r w:rsidRPr="004A27C3">
        <w:rPr>
          <w:color w:val="auto"/>
          <w:sz w:val="22"/>
        </w:rPr>
        <w:t xml:space="preserve">Coastline Community College CSU annual transfers varied between a low of 75 </w:t>
      </w:r>
      <w:r w:rsidR="00857975" w:rsidRPr="004A27C3">
        <w:rPr>
          <w:color w:val="auto"/>
          <w:sz w:val="22"/>
        </w:rPr>
        <w:t xml:space="preserve">in 2011-12 </w:t>
      </w:r>
      <w:r w:rsidRPr="004A27C3">
        <w:rPr>
          <w:color w:val="auto"/>
          <w:sz w:val="22"/>
        </w:rPr>
        <w:t>and a high of 114</w:t>
      </w:r>
      <w:r w:rsidR="00857975" w:rsidRPr="004A27C3">
        <w:rPr>
          <w:color w:val="auto"/>
          <w:sz w:val="22"/>
        </w:rPr>
        <w:t xml:space="preserve"> in 2014-15</w:t>
      </w:r>
      <w:r w:rsidRPr="004A27C3">
        <w:rPr>
          <w:color w:val="auto"/>
          <w:sz w:val="22"/>
        </w:rPr>
        <w:t>.</w:t>
      </w:r>
    </w:p>
    <w:p w14:paraId="22AA1652" w14:textId="77777777" w:rsidR="004C1CBB" w:rsidRPr="00D60C56" w:rsidRDefault="004C1CBB" w:rsidP="004C1CBB">
      <w:pPr>
        <w:autoSpaceDE w:val="0"/>
        <w:autoSpaceDN w:val="0"/>
        <w:adjustRightInd w:val="0"/>
        <w:rPr>
          <w:highlight w:val="cyan"/>
        </w:rPr>
      </w:pPr>
    </w:p>
    <w:p w14:paraId="7226FF15" w14:textId="6577C88D" w:rsidR="004C1CBB" w:rsidRPr="00D60C56" w:rsidRDefault="004C1CBB" w:rsidP="004C1CBB">
      <w:r w:rsidRPr="00D60C56">
        <w:t>Significan</w:t>
      </w:r>
      <w:r w:rsidR="00776149">
        <w:t>t declines were observed in 2012</w:t>
      </w:r>
      <w:r w:rsidRPr="00D60C56">
        <w:t>-1</w:t>
      </w:r>
      <w:r w:rsidR="00776149">
        <w:t>3</w:t>
      </w:r>
      <w:r w:rsidRPr="00D60C56">
        <w:t xml:space="preserve"> across the District. These were caused by the transfer restrictions implemented at the CSU system due to State budget cuts.  Each </w:t>
      </w:r>
      <w:r w:rsidR="00E27492">
        <w:t xml:space="preserve">College has shown </w:t>
      </w:r>
      <w:r w:rsidRPr="00D60C56">
        <w:t>increases since.</w:t>
      </w:r>
    </w:p>
    <w:p w14:paraId="0F9D5F3E" w14:textId="77777777" w:rsidR="00FC6A45" w:rsidRPr="00B9364B" w:rsidRDefault="00FC6A45" w:rsidP="00690D12">
      <w:pPr>
        <w:autoSpaceDE w:val="0"/>
        <w:autoSpaceDN w:val="0"/>
        <w:adjustRightInd w:val="0"/>
        <w:rPr>
          <w:bCs/>
          <w:color w:val="FF0000"/>
          <w:sz w:val="20"/>
        </w:rPr>
      </w:pPr>
    </w:p>
    <w:p w14:paraId="0F9D5F41" w14:textId="39C8BD59" w:rsidR="00432EC2" w:rsidRPr="00B9364B" w:rsidRDefault="00C834EE" w:rsidP="00F709A1">
      <w:pPr>
        <w:rPr>
          <w:color w:val="FF0000"/>
        </w:rPr>
      </w:pPr>
      <w:r w:rsidRPr="00B9364B">
        <w:rPr>
          <w:rFonts w:ascii="Calibri" w:hAnsi="Calibri"/>
          <w:b/>
          <w:noProof/>
          <w:color w:val="FF0000"/>
          <w:sz w:val="20"/>
          <w:szCs w:val="20"/>
        </w:rPr>
        <w:drawing>
          <wp:inline distT="0" distB="0" distL="0" distR="0" wp14:anchorId="3C6FCB64" wp14:editId="343E041A">
            <wp:extent cx="6987396" cy="2432649"/>
            <wp:effectExtent l="0" t="0" r="4445"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4D7B43" w14:textId="77777777" w:rsidR="00C834EE" w:rsidRPr="00B9364B" w:rsidRDefault="00C834EE" w:rsidP="00E34436">
      <w:pPr>
        <w:rPr>
          <w:color w:val="FF0000"/>
          <w:sz w:val="16"/>
          <w:szCs w:val="16"/>
        </w:rPr>
      </w:pPr>
    </w:p>
    <w:p w14:paraId="0F9D5F42" w14:textId="6D30E47D" w:rsidR="00E34436" w:rsidRPr="004714A0" w:rsidRDefault="006D4D54" w:rsidP="00E34436">
      <w:pPr>
        <w:rPr>
          <w:sz w:val="16"/>
          <w:szCs w:val="16"/>
        </w:rPr>
      </w:pPr>
      <w:r w:rsidRPr="004714A0">
        <w:rPr>
          <w:sz w:val="16"/>
          <w:szCs w:val="16"/>
        </w:rPr>
        <w:lastRenderedPageBreak/>
        <w:t>Source: CCCCO Data Transfer Resources</w:t>
      </w:r>
    </w:p>
    <w:p w14:paraId="6499C6A4" w14:textId="77777777" w:rsidR="00A62B82" w:rsidRPr="00B9364B" w:rsidRDefault="00A62B82" w:rsidP="00E34436">
      <w:pPr>
        <w:rPr>
          <w:color w:val="FF0000"/>
          <w:sz w:val="16"/>
          <w:szCs w:val="16"/>
        </w:rPr>
      </w:pPr>
    </w:p>
    <w:p w14:paraId="0F9D5F43" w14:textId="48B55116" w:rsidR="006967A1" w:rsidRPr="004709CC" w:rsidRDefault="00845278" w:rsidP="00FC6A45">
      <w:pPr>
        <w:pStyle w:val="Heading2"/>
        <w:rPr>
          <w:color w:val="auto"/>
        </w:rPr>
      </w:pPr>
      <w:bookmarkStart w:id="53" w:name="_Toc341183230"/>
      <w:bookmarkStart w:id="54" w:name="_Toc506217408"/>
      <w:r>
        <w:rPr>
          <w:color w:val="auto"/>
        </w:rPr>
        <w:t>Transfers to In-state Private and Out-of-State</w:t>
      </w:r>
      <w:r w:rsidR="006967A1" w:rsidRPr="004709CC">
        <w:rPr>
          <w:color w:val="auto"/>
        </w:rPr>
        <w:t xml:space="preserve"> </w:t>
      </w:r>
      <w:r w:rsidR="00212F09" w:rsidRPr="004709CC">
        <w:rPr>
          <w:color w:val="auto"/>
        </w:rPr>
        <w:t>Four-y</w:t>
      </w:r>
      <w:r w:rsidR="000317E0" w:rsidRPr="004709CC">
        <w:rPr>
          <w:color w:val="auto"/>
        </w:rPr>
        <w:t xml:space="preserve">ear </w:t>
      </w:r>
      <w:r w:rsidR="006967A1" w:rsidRPr="004709CC">
        <w:rPr>
          <w:color w:val="auto"/>
        </w:rPr>
        <w:t>Institutions</w:t>
      </w:r>
      <w:bookmarkEnd w:id="53"/>
      <w:bookmarkEnd w:id="54"/>
    </w:p>
    <w:p w14:paraId="0F9D5F44" w14:textId="00F388CB" w:rsidR="00B5156F" w:rsidRPr="003803C2" w:rsidRDefault="00CF501F" w:rsidP="00B5156F">
      <w:pPr>
        <w:autoSpaceDE w:val="0"/>
        <w:autoSpaceDN w:val="0"/>
        <w:adjustRightInd w:val="0"/>
        <w:rPr>
          <w:bCs/>
          <w:iCs/>
        </w:rPr>
      </w:pPr>
      <w:r>
        <w:rPr>
          <w:bCs/>
          <w:iCs/>
        </w:rPr>
        <w:t>In 2014-15</w:t>
      </w:r>
      <w:r w:rsidR="00503027">
        <w:rPr>
          <w:bCs/>
          <w:iCs/>
        </w:rPr>
        <w:t>, t</w:t>
      </w:r>
      <w:r w:rsidR="0038524D" w:rsidRPr="004709CC">
        <w:rPr>
          <w:bCs/>
          <w:iCs/>
        </w:rPr>
        <w:t>he</w:t>
      </w:r>
      <w:r w:rsidR="00A072BB" w:rsidRPr="004709CC">
        <w:rPr>
          <w:bCs/>
          <w:iCs/>
        </w:rPr>
        <w:t xml:space="preserve"> Colleges transferred 1,</w:t>
      </w:r>
      <w:r w:rsidR="003803C2">
        <w:rPr>
          <w:bCs/>
          <w:iCs/>
        </w:rPr>
        <w:t>216</w:t>
      </w:r>
      <w:r w:rsidR="001942DB" w:rsidRPr="004709CC">
        <w:rPr>
          <w:bCs/>
          <w:iCs/>
        </w:rPr>
        <w:t xml:space="preserve"> students to </w:t>
      </w:r>
      <w:r w:rsidR="00744464">
        <w:rPr>
          <w:bCs/>
          <w:iCs/>
        </w:rPr>
        <w:t xml:space="preserve">282 different </w:t>
      </w:r>
      <w:r w:rsidR="001942DB" w:rsidRPr="004709CC">
        <w:rPr>
          <w:bCs/>
          <w:iCs/>
        </w:rPr>
        <w:t>private and out-of-stat</w:t>
      </w:r>
      <w:r w:rsidR="00503027">
        <w:rPr>
          <w:bCs/>
          <w:iCs/>
        </w:rPr>
        <w:t>e four-year institutions</w:t>
      </w:r>
      <w:r w:rsidR="001942DB" w:rsidRPr="004709CC">
        <w:rPr>
          <w:bCs/>
          <w:iCs/>
        </w:rPr>
        <w:t xml:space="preserve">. </w:t>
      </w:r>
      <w:r w:rsidR="004709CC" w:rsidRPr="004709CC">
        <w:rPr>
          <w:bCs/>
          <w:iCs/>
        </w:rPr>
        <w:t xml:space="preserve">This is the highest number </w:t>
      </w:r>
      <w:r w:rsidR="001942DB" w:rsidRPr="004709CC">
        <w:rPr>
          <w:bCs/>
          <w:iCs/>
        </w:rPr>
        <w:t xml:space="preserve">district-wide over the last five </w:t>
      </w:r>
      <w:r w:rsidR="001942DB" w:rsidRPr="003803C2">
        <w:rPr>
          <w:bCs/>
          <w:iCs/>
        </w:rPr>
        <w:t xml:space="preserve">years. </w:t>
      </w:r>
      <w:r w:rsidRPr="003803C2">
        <w:rPr>
          <w:bCs/>
          <w:iCs/>
        </w:rPr>
        <w:t>In 2015-16, Ashford University</w:t>
      </w:r>
      <w:r w:rsidR="00744464" w:rsidRPr="003803C2">
        <w:rPr>
          <w:bCs/>
          <w:iCs/>
        </w:rPr>
        <w:t xml:space="preserve"> and West C</w:t>
      </w:r>
      <w:r w:rsidRPr="003803C2">
        <w:rPr>
          <w:bCs/>
          <w:iCs/>
        </w:rPr>
        <w:t>oast Universities le</w:t>
      </w:r>
      <w:r w:rsidR="001942DB" w:rsidRPr="003803C2">
        <w:rPr>
          <w:bCs/>
          <w:iCs/>
        </w:rPr>
        <w:t>d the list of in-state p</w:t>
      </w:r>
      <w:r w:rsidR="00E14F4B" w:rsidRPr="003803C2">
        <w:rPr>
          <w:bCs/>
          <w:iCs/>
        </w:rPr>
        <w:t>rivate transfers</w:t>
      </w:r>
      <w:r w:rsidR="001942DB" w:rsidRPr="003803C2">
        <w:rPr>
          <w:bCs/>
          <w:iCs/>
        </w:rPr>
        <w:t xml:space="preserve">. The top out-of-state </w:t>
      </w:r>
      <w:r w:rsidR="00A072BB" w:rsidRPr="003803C2">
        <w:rPr>
          <w:bCs/>
          <w:iCs/>
        </w:rPr>
        <w:t>transfer destination</w:t>
      </w:r>
      <w:r w:rsidRPr="003803C2">
        <w:rPr>
          <w:bCs/>
          <w:iCs/>
        </w:rPr>
        <w:t>s were the Thunderbird School of Global Management and the American Public University System.</w:t>
      </w:r>
    </w:p>
    <w:p w14:paraId="4F51451D" w14:textId="77777777" w:rsidR="005F29D3" w:rsidRPr="00B9364B" w:rsidRDefault="005F29D3" w:rsidP="00B5156F">
      <w:pPr>
        <w:autoSpaceDE w:val="0"/>
        <w:autoSpaceDN w:val="0"/>
        <w:adjustRightInd w:val="0"/>
        <w:rPr>
          <w:bCs/>
          <w:iCs/>
          <w:color w:val="FF0000"/>
        </w:rPr>
      </w:pPr>
    </w:p>
    <w:p w14:paraId="0F9D5F45" w14:textId="6F49A443" w:rsidR="00B5156F" w:rsidRPr="00B9364B" w:rsidRDefault="00BE3BC6" w:rsidP="00B5156F">
      <w:pPr>
        <w:autoSpaceDE w:val="0"/>
        <w:autoSpaceDN w:val="0"/>
        <w:adjustRightInd w:val="0"/>
        <w:rPr>
          <w:bCs/>
          <w:iCs/>
          <w:color w:val="FF0000"/>
        </w:rPr>
      </w:pPr>
      <w:r w:rsidRPr="00B9364B">
        <w:rPr>
          <w:rFonts w:ascii="Calibri" w:hAnsi="Calibri"/>
          <w:b/>
          <w:noProof/>
          <w:color w:val="FF0000"/>
          <w:sz w:val="20"/>
          <w:szCs w:val="20"/>
        </w:rPr>
        <w:drawing>
          <wp:inline distT="0" distB="0" distL="0" distR="0" wp14:anchorId="34683DE7" wp14:editId="767C03D4">
            <wp:extent cx="6734175" cy="246697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71026D" w14:textId="77777777" w:rsidR="00C834EE" w:rsidRPr="00B9364B" w:rsidRDefault="00C834EE" w:rsidP="00AF3AF8">
      <w:pPr>
        <w:autoSpaceDE w:val="0"/>
        <w:autoSpaceDN w:val="0"/>
        <w:adjustRightInd w:val="0"/>
        <w:rPr>
          <w:color w:val="FF0000"/>
        </w:rPr>
      </w:pPr>
    </w:p>
    <w:p w14:paraId="0F9D5F48" w14:textId="3CDD6000" w:rsidR="00AF3AF8" w:rsidRPr="004714A0" w:rsidRDefault="00AF3AF8" w:rsidP="00AF3AF8">
      <w:pPr>
        <w:autoSpaceDE w:val="0"/>
        <w:autoSpaceDN w:val="0"/>
        <w:adjustRightInd w:val="0"/>
        <w:rPr>
          <w:sz w:val="16"/>
          <w:szCs w:val="16"/>
        </w:rPr>
      </w:pPr>
      <w:r w:rsidRPr="004714A0">
        <w:rPr>
          <w:sz w:val="16"/>
          <w:szCs w:val="16"/>
        </w:rPr>
        <w:t>Source: CCCCO Data Mart</w:t>
      </w:r>
      <w:r w:rsidR="00E51A6F" w:rsidRPr="004714A0">
        <w:rPr>
          <w:sz w:val="16"/>
          <w:szCs w:val="16"/>
        </w:rPr>
        <w:t xml:space="preserve"> Student Transfer Volume to ISP/OOS</w:t>
      </w:r>
    </w:p>
    <w:p w14:paraId="0F9D5F4A" w14:textId="426C8398" w:rsidR="00BB64E0" w:rsidRPr="004C32AF" w:rsidRDefault="00364203" w:rsidP="00BE3BC6">
      <w:pPr>
        <w:pStyle w:val="Heading2"/>
        <w:spacing w:before="0"/>
        <w:rPr>
          <w:color w:val="auto"/>
        </w:rPr>
      </w:pPr>
      <w:bookmarkStart w:id="55" w:name="_Toc341183231"/>
      <w:bookmarkStart w:id="56" w:name="_Toc506217409"/>
      <w:r w:rsidRPr="004C32AF">
        <w:rPr>
          <w:color w:val="auto"/>
        </w:rPr>
        <w:t>Student Right-to-Know</w:t>
      </w:r>
      <w:r w:rsidR="001942DB" w:rsidRPr="004C32AF">
        <w:rPr>
          <w:color w:val="auto"/>
        </w:rPr>
        <w:t xml:space="preserve"> (SRTK)</w:t>
      </w:r>
      <w:r w:rsidRPr="004C32AF">
        <w:rPr>
          <w:color w:val="auto"/>
        </w:rPr>
        <w:t xml:space="preserve"> Act Completion and Transfer Rates</w:t>
      </w:r>
      <w:bookmarkEnd w:id="55"/>
      <w:bookmarkEnd w:id="56"/>
    </w:p>
    <w:p w14:paraId="0F9D5F4B" w14:textId="2FCD4417" w:rsidR="00B5156F" w:rsidRPr="004C32AF" w:rsidRDefault="00B5156F" w:rsidP="00BE3BC6">
      <w:r w:rsidRPr="004C32AF">
        <w:t xml:space="preserve">In compliance with the Student-Right-to-Know and Campus Security Act of 1990, a federal reporting requirement, it is the policy of all California Community Colleges to make available completion and transfer rates to all current or prospective students. The rates are calculated based on cohorts of first-time students starting in a fall semester who were full-time and had a goal of obtaining a certificate, degree or transfer as self-reported on the college </w:t>
      </w:r>
      <w:r w:rsidR="008B529E">
        <w:t xml:space="preserve">admission </w:t>
      </w:r>
      <w:r w:rsidRPr="004C32AF">
        <w:t xml:space="preserve">application. These cohorts are then tracked for a three-year period. </w:t>
      </w:r>
    </w:p>
    <w:p w14:paraId="1262BFC2" w14:textId="77777777" w:rsidR="00BE3BC6" w:rsidRPr="00B9364B" w:rsidRDefault="00BE3BC6" w:rsidP="00BE3BC6">
      <w:pPr>
        <w:rPr>
          <w:color w:val="FF0000"/>
        </w:rPr>
      </w:pPr>
    </w:p>
    <w:p w14:paraId="0F9D5F4C" w14:textId="03D891AF" w:rsidR="00B5156F" w:rsidRPr="004C6DDF" w:rsidRDefault="00B5156F" w:rsidP="00BE3BC6">
      <w:r w:rsidRPr="004C32AF">
        <w:t xml:space="preserve">In spite of minor fluctuations from year to year, Orange Coast College and Golden West College consistently achieved levels </w:t>
      </w:r>
      <w:r w:rsidR="001942DB" w:rsidRPr="004C32AF">
        <w:t xml:space="preserve">at or </w:t>
      </w:r>
      <w:r w:rsidRPr="004C32AF">
        <w:t xml:space="preserve">higher than </w:t>
      </w:r>
      <w:r w:rsidRPr="004C32AF">
        <w:lastRenderedPageBreak/>
        <w:t xml:space="preserve">the statewide rates for the five cohorts in both completion and transfer rates calculated with this methodology. Coastline </w:t>
      </w:r>
      <w:r w:rsidR="00062B83" w:rsidRPr="004C32AF">
        <w:t xml:space="preserve">Community </w:t>
      </w:r>
      <w:r w:rsidRPr="004C32AF">
        <w:t>College has s</w:t>
      </w:r>
      <w:r w:rsidR="00062B83" w:rsidRPr="004C32AF">
        <w:t xml:space="preserve">hown great variability in </w:t>
      </w:r>
      <w:r w:rsidRPr="004C32AF">
        <w:t>completion rates</w:t>
      </w:r>
      <w:r w:rsidR="001942DB" w:rsidRPr="004C32AF">
        <w:t xml:space="preserve"> with rates both below and above </w:t>
      </w:r>
      <w:r w:rsidR="002A5371">
        <w:t xml:space="preserve">the </w:t>
      </w:r>
      <w:r w:rsidR="002A5371" w:rsidRPr="004C6DDF">
        <w:t>state</w:t>
      </w:r>
      <w:r w:rsidRPr="004C6DDF">
        <w:t xml:space="preserve">wide </w:t>
      </w:r>
      <w:r w:rsidR="001942DB" w:rsidRPr="004C6DDF">
        <w:t>rates</w:t>
      </w:r>
      <w:r w:rsidR="00DB48A4" w:rsidRPr="004C6DDF">
        <w:t>. Orange Coast College and Golden West College</w:t>
      </w:r>
      <w:r w:rsidR="002A5371" w:rsidRPr="004C6DDF">
        <w:t>, as well as state</w:t>
      </w:r>
      <w:r w:rsidRPr="004C6DDF">
        <w:t>wide, have shown declines in transfer rates</w:t>
      </w:r>
      <w:r w:rsidR="000652BA" w:rsidRPr="004C6DDF">
        <w:t xml:space="preserve"> but leveled out in fall 2013</w:t>
      </w:r>
      <w:r w:rsidRPr="004C6DDF">
        <w:t xml:space="preserve">. </w:t>
      </w:r>
      <w:r w:rsidR="00DB48A4" w:rsidRPr="004C6DDF">
        <w:t>Coastline</w:t>
      </w:r>
      <w:r w:rsidR="0068462C" w:rsidRPr="004C6DDF">
        <w:t>’s transfer rate</w:t>
      </w:r>
      <w:r w:rsidR="000652BA" w:rsidRPr="004C6DDF">
        <w:t>s</w:t>
      </w:r>
      <w:r w:rsidR="00DB48A4" w:rsidRPr="004C6DDF">
        <w:t xml:space="preserve"> </w:t>
      </w:r>
      <w:r w:rsidR="0068462C" w:rsidRPr="004C6DDF">
        <w:t>increa</w:t>
      </w:r>
      <w:r w:rsidR="00C16CFA" w:rsidRPr="004C6DDF">
        <w:t xml:space="preserve">sed steadily for </w:t>
      </w:r>
      <w:r w:rsidR="000652BA" w:rsidRPr="004C6DDF">
        <w:t>the fall 2009 through fall 2011</w:t>
      </w:r>
      <w:r w:rsidR="00C16CFA" w:rsidRPr="004C6DDF">
        <w:t xml:space="preserve"> cohorts, respectively, </w:t>
      </w:r>
      <w:r w:rsidR="000652BA" w:rsidRPr="004C6DDF">
        <w:t>dropped for fall 2012 and then</w:t>
      </w:r>
      <w:r w:rsidR="00C16CFA" w:rsidRPr="004C6DDF">
        <w:t xml:space="preserve"> held steady </w:t>
      </w:r>
      <w:r w:rsidR="00AF1903" w:rsidRPr="004C6DDF">
        <w:t>for</w:t>
      </w:r>
      <w:r w:rsidR="00C16CFA" w:rsidRPr="004C6DDF">
        <w:t xml:space="preserve"> the fall 2013</w:t>
      </w:r>
      <w:r w:rsidR="000652BA" w:rsidRPr="004C6DDF">
        <w:t xml:space="preserve"> cohort.  Coastline transfer rate</w:t>
      </w:r>
      <w:r w:rsidR="00AF1903" w:rsidRPr="004C6DDF">
        <w:t xml:space="preserve"> is still above the statewide rate.</w:t>
      </w:r>
    </w:p>
    <w:p w14:paraId="4AC96C07" w14:textId="77777777" w:rsidR="001942DB" w:rsidRPr="00B9364B" w:rsidRDefault="001942DB" w:rsidP="00BE3BC6">
      <w:pPr>
        <w:rPr>
          <w:color w:val="FF0000"/>
        </w:rPr>
      </w:pPr>
    </w:p>
    <w:p w14:paraId="7D0E9C2D" w14:textId="4456A177" w:rsidR="00BE3BC6" w:rsidRPr="00B9364B" w:rsidRDefault="00BE3BC6" w:rsidP="008B491B">
      <w:pPr>
        <w:rPr>
          <w:color w:val="FF0000"/>
        </w:rPr>
      </w:pPr>
      <w:r w:rsidRPr="00B9364B">
        <w:rPr>
          <w:rFonts w:ascii="Calibri" w:hAnsi="Calibri"/>
          <w:b/>
          <w:noProof/>
          <w:color w:val="FF0000"/>
          <w:sz w:val="20"/>
          <w:szCs w:val="20"/>
        </w:rPr>
        <w:drawing>
          <wp:inline distT="0" distB="0" distL="0" distR="0" wp14:anchorId="62E55A78" wp14:editId="21115CD5">
            <wp:extent cx="6858000" cy="235267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766F1C" w14:textId="77777777" w:rsidR="00DB48A4" w:rsidRPr="00B9364B" w:rsidRDefault="00DB48A4" w:rsidP="00B6024E">
      <w:pPr>
        <w:rPr>
          <w:color w:val="FF0000"/>
          <w:sz w:val="16"/>
          <w:szCs w:val="16"/>
        </w:rPr>
      </w:pPr>
    </w:p>
    <w:p w14:paraId="0F9D5F51" w14:textId="17633D08" w:rsidR="00690D12" w:rsidRPr="004714A0" w:rsidRDefault="00E34436" w:rsidP="00B6024E">
      <w:pPr>
        <w:rPr>
          <w:sz w:val="16"/>
          <w:szCs w:val="16"/>
        </w:rPr>
      </w:pPr>
      <w:r w:rsidRPr="004714A0">
        <w:rPr>
          <w:sz w:val="16"/>
          <w:szCs w:val="16"/>
        </w:rPr>
        <w:t xml:space="preserve">Source:  </w:t>
      </w:r>
      <w:r w:rsidR="004C32AF" w:rsidRPr="004C32AF">
        <w:rPr>
          <w:sz w:val="16"/>
          <w:szCs w:val="16"/>
        </w:rPr>
        <w:t>http://srtk.cccco.edu/</w:t>
      </w:r>
    </w:p>
    <w:p w14:paraId="6F9D2DB6" w14:textId="77777777" w:rsidR="00E34436" w:rsidRPr="00B9364B" w:rsidRDefault="00E34436" w:rsidP="00B6024E">
      <w:pPr>
        <w:autoSpaceDE w:val="0"/>
        <w:autoSpaceDN w:val="0"/>
        <w:adjustRightInd w:val="0"/>
        <w:rPr>
          <w:bCs/>
          <w:color w:val="FF0000"/>
        </w:rPr>
      </w:pPr>
    </w:p>
    <w:p w14:paraId="7655F64E" w14:textId="3C2241F7" w:rsidR="00B6024E" w:rsidRPr="00B9364B" w:rsidRDefault="000C3E22" w:rsidP="00B6024E">
      <w:pPr>
        <w:rPr>
          <w:rFonts w:ascii="Calibri" w:hAnsi="Calibri"/>
          <w:color w:val="FF0000"/>
          <w:sz w:val="20"/>
          <w:szCs w:val="20"/>
        </w:rPr>
      </w:pPr>
      <w:r w:rsidRPr="00B9364B">
        <w:rPr>
          <w:rFonts w:ascii="Calibri" w:hAnsi="Calibri"/>
          <w:b/>
          <w:noProof/>
          <w:color w:val="FF0000"/>
          <w:sz w:val="20"/>
          <w:szCs w:val="20"/>
        </w:rPr>
        <w:drawing>
          <wp:inline distT="0" distB="0" distL="0" distR="0" wp14:anchorId="712C0142" wp14:editId="073BB006">
            <wp:extent cx="6934200" cy="2752725"/>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D90050" w14:textId="77777777" w:rsidR="00DB48A4" w:rsidRPr="00B9364B" w:rsidRDefault="00DB48A4" w:rsidP="00DB48A4">
      <w:pPr>
        <w:rPr>
          <w:color w:val="FF0000"/>
        </w:rPr>
      </w:pPr>
    </w:p>
    <w:p w14:paraId="4718A1CC" w14:textId="4A07EB21" w:rsidR="00DB48A4" w:rsidRPr="004C32AF" w:rsidRDefault="00DB48A4" w:rsidP="00DB48A4">
      <w:pPr>
        <w:rPr>
          <w:sz w:val="16"/>
          <w:szCs w:val="16"/>
        </w:rPr>
      </w:pPr>
      <w:r w:rsidRPr="004C32AF">
        <w:rPr>
          <w:sz w:val="16"/>
          <w:szCs w:val="16"/>
        </w:rPr>
        <w:t xml:space="preserve">Source:  </w:t>
      </w:r>
      <w:r w:rsidR="004C32AF" w:rsidRPr="004C32AF">
        <w:rPr>
          <w:sz w:val="16"/>
          <w:szCs w:val="16"/>
        </w:rPr>
        <w:t>http://srtk.cccco.edu/</w:t>
      </w:r>
    </w:p>
    <w:p w14:paraId="17DCF0F2" w14:textId="16FEA90D" w:rsidR="00B6024E" w:rsidRPr="00B9364B" w:rsidRDefault="00B6024E" w:rsidP="00B6024E">
      <w:pPr>
        <w:rPr>
          <w:color w:val="FF0000"/>
        </w:rPr>
      </w:pPr>
    </w:p>
    <w:p w14:paraId="0F9D5F62" w14:textId="5D2F7E92" w:rsidR="00364203" w:rsidRPr="007A5F2B" w:rsidRDefault="00364203" w:rsidP="008B491B">
      <w:pPr>
        <w:pStyle w:val="Heading2"/>
        <w:spacing w:before="0"/>
        <w:rPr>
          <w:color w:val="auto"/>
        </w:rPr>
      </w:pPr>
      <w:bookmarkStart w:id="57" w:name="_Toc341183232"/>
      <w:bookmarkStart w:id="58" w:name="_Toc506217410"/>
      <w:r w:rsidRPr="007A5F2B">
        <w:rPr>
          <w:color w:val="auto"/>
        </w:rPr>
        <w:t>Action</w:t>
      </w:r>
      <w:r w:rsidR="00CF22B3" w:rsidRPr="007A5F2B">
        <w:rPr>
          <w:color w:val="auto"/>
        </w:rPr>
        <w:t>s</w:t>
      </w:r>
      <w:r w:rsidRPr="007A5F2B">
        <w:rPr>
          <w:color w:val="auto"/>
        </w:rPr>
        <w:t xml:space="preserve"> in the Area of Student Learning, Achievement and Development</w:t>
      </w:r>
      <w:bookmarkEnd w:id="57"/>
      <w:bookmarkEnd w:id="58"/>
    </w:p>
    <w:p w14:paraId="17DC97E5" w14:textId="77777777" w:rsidR="003B1146" w:rsidRDefault="003B1146" w:rsidP="00DA778E">
      <w:pPr>
        <w:rPr>
          <w:b/>
        </w:rPr>
      </w:pPr>
    </w:p>
    <w:p w14:paraId="0F9D5F63" w14:textId="77777777" w:rsidR="00910A55" w:rsidRPr="007A5F2B" w:rsidRDefault="00910A55" w:rsidP="00DA778E">
      <w:pPr>
        <w:rPr>
          <w:b/>
        </w:rPr>
      </w:pPr>
      <w:r w:rsidRPr="007A5F2B">
        <w:rPr>
          <w:b/>
        </w:rPr>
        <w:t>Coastline</w:t>
      </w:r>
    </w:p>
    <w:p w14:paraId="5BCD6AAE" w14:textId="77777777" w:rsidR="00EC1F41" w:rsidRPr="004C6DDF" w:rsidRDefault="00EC1F41" w:rsidP="00EC1F41">
      <w:pPr>
        <w:keepNext/>
      </w:pPr>
      <w:r w:rsidRPr="004C6DDF">
        <w:lastRenderedPageBreak/>
        <w:t xml:space="preserve">The college identifies the educational preparation of its incoming students by using placement tests and multiple measures to determine the level for English and Mathematics courses. The college offers a range of courses to meet the needs of students who are not prepared to succeed at the college level. Additionally, the Le-Jao Center provides language skills assessment for non-native English speakers and places those students needing remediation in an appropriate level English as a Second Language course. </w:t>
      </w:r>
    </w:p>
    <w:p w14:paraId="728287B3" w14:textId="77777777" w:rsidR="00EC1F41" w:rsidRPr="004C6DDF" w:rsidRDefault="00EC1F41" w:rsidP="00EC1F41">
      <w:pPr>
        <w:autoSpaceDE w:val="0"/>
        <w:autoSpaceDN w:val="0"/>
        <w:adjustRightInd w:val="0"/>
      </w:pPr>
    </w:p>
    <w:p w14:paraId="149CCCD9" w14:textId="77777777" w:rsidR="00EC1F41" w:rsidRPr="004C6DDF" w:rsidRDefault="00EC1F41" w:rsidP="00EC1F41">
      <w:pPr>
        <w:autoSpaceDE w:val="0"/>
        <w:autoSpaceDN w:val="0"/>
        <w:adjustRightInd w:val="0"/>
      </w:pPr>
      <w:r w:rsidRPr="004C6DDF">
        <w:t xml:space="preserve">The Student Success Centers offer free, walk-in tutoring for all Coastline students. Tutoring is offered for all subjects, with emphasis on study skills and assignment preparation. Tutoring is available at all sites and online. To make arrangements for online tutoring, students may contact us at success@coastline.edu. The latest schedule of services is posted on the SSC webpage (coastline.edu/ssc). Tutors are also embedded in a variety of onsite and online courses to help students overcome learning barriers. </w:t>
      </w:r>
    </w:p>
    <w:p w14:paraId="5E6B6D2F" w14:textId="77777777" w:rsidR="00EC1F41" w:rsidRPr="004C6DDF" w:rsidRDefault="00EC1F41" w:rsidP="00EC1F41">
      <w:pPr>
        <w:autoSpaceDE w:val="0"/>
        <w:autoSpaceDN w:val="0"/>
        <w:adjustRightInd w:val="0"/>
      </w:pPr>
    </w:p>
    <w:p w14:paraId="5A48816F" w14:textId="77777777" w:rsidR="00EC1F41" w:rsidRPr="004C6DDF" w:rsidRDefault="00EC1F41" w:rsidP="00EC1F41">
      <w:pPr>
        <w:autoSpaceDE w:val="0"/>
        <w:autoSpaceDN w:val="0"/>
        <w:adjustRightInd w:val="0"/>
        <w:spacing w:after="47"/>
      </w:pPr>
      <w:r w:rsidRPr="004C6DDF">
        <w:t xml:space="preserve">Distance Learning: In 2016-17 Coastline served 82.4% of Coastline’s credit enrollment through distance learning modalities. </w:t>
      </w:r>
    </w:p>
    <w:p w14:paraId="2A9A659A" w14:textId="77777777" w:rsidR="00EC1F41" w:rsidRPr="004C6DDF" w:rsidRDefault="00EC1F41" w:rsidP="00EC1F41">
      <w:pPr>
        <w:autoSpaceDE w:val="0"/>
        <w:autoSpaceDN w:val="0"/>
        <w:adjustRightInd w:val="0"/>
        <w:spacing w:after="47"/>
      </w:pPr>
    </w:p>
    <w:p w14:paraId="00389C77" w14:textId="77777777" w:rsidR="00EC1F41" w:rsidRPr="004C6DDF" w:rsidRDefault="00EC1F41" w:rsidP="00EC1F41">
      <w:pPr>
        <w:autoSpaceDE w:val="0"/>
        <w:autoSpaceDN w:val="0"/>
        <w:adjustRightInd w:val="0"/>
        <w:spacing w:after="47"/>
      </w:pPr>
      <w:r w:rsidRPr="004C6DDF">
        <w:t>Extended Learning Military programs enrolled 12,849 active military personnel, spouses, and veterans worldwide via contract education in 2016-17. The program is self-sustaining and does not receive any state apportionment. The total number of students served is not reflected in the statewide Chancellor’s datamart.</w:t>
      </w:r>
    </w:p>
    <w:p w14:paraId="16D73AB4" w14:textId="77777777" w:rsidR="00EC1F41" w:rsidRPr="004C6DDF" w:rsidRDefault="00EC1F41" w:rsidP="00EC1F41">
      <w:pPr>
        <w:autoSpaceDE w:val="0"/>
        <w:autoSpaceDN w:val="0"/>
        <w:adjustRightInd w:val="0"/>
        <w:spacing w:after="47"/>
      </w:pPr>
    </w:p>
    <w:p w14:paraId="59F3CB14" w14:textId="77777777" w:rsidR="00EC1F41" w:rsidRPr="004C6DDF" w:rsidRDefault="00EC1F41" w:rsidP="00EC1F41">
      <w:pPr>
        <w:autoSpaceDE w:val="0"/>
        <w:autoSpaceDN w:val="0"/>
        <w:adjustRightInd w:val="0"/>
        <w:spacing w:after="47"/>
      </w:pPr>
      <w:r w:rsidRPr="004C6DDF">
        <w:t xml:space="preserve">Coast Learning Systems is a branded marketing unit within the Division of Extended Learning, produces, distributes, and delivers a variety of high-quality, technology-mediated instructional courses and training programs licensed to other educational institutions, government entities, and businesses locally and around the globe.  </w:t>
      </w:r>
    </w:p>
    <w:p w14:paraId="78C2B59B" w14:textId="77777777" w:rsidR="00EC1F41" w:rsidRPr="004C6DDF" w:rsidRDefault="00EC1F41" w:rsidP="00EC1F41">
      <w:pPr>
        <w:autoSpaceDE w:val="0"/>
        <w:autoSpaceDN w:val="0"/>
        <w:adjustRightInd w:val="0"/>
        <w:spacing w:after="47"/>
      </w:pPr>
    </w:p>
    <w:p w14:paraId="60BDEA93" w14:textId="77777777" w:rsidR="00EC1F41" w:rsidRPr="004C6DDF" w:rsidRDefault="00EC1F41" w:rsidP="00EC1F41">
      <w:pPr>
        <w:autoSpaceDE w:val="0"/>
        <w:autoSpaceDN w:val="0"/>
        <w:adjustRightInd w:val="0"/>
        <w:spacing w:after="47"/>
      </w:pPr>
      <w:r w:rsidRPr="004C6DDF">
        <w:lastRenderedPageBreak/>
        <w:t>STAR is a structured pathway student cohort program/ learning community allows students to earn an Associate’s transfer degree in two years. Participants receive guaranteed classes in a structured schedule. Gateway classes are equipped with an “embedded tutor” to increase student retention and completion. STAR has student cohorts programs in Business Administration, Psychology, Pre-Allied (pre-nursing, pre-diagnostic imaging, etc.) Health curriculum and Science Major Core (Biology, Chemistry, Math, Physics, and Engineering). STAR is a “Community-based Learning” model.</w:t>
      </w:r>
    </w:p>
    <w:p w14:paraId="70DCFF90" w14:textId="77777777" w:rsidR="00EC1F41" w:rsidRPr="004C6DDF" w:rsidRDefault="00EC1F41" w:rsidP="00EC1F41">
      <w:pPr>
        <w:autoSpaceDE w:val="0"/>
        <w:autoSpaceDN w:val="0"/>
        <w:adjustRightInd w:val="0"/>
        <w:spacing w:after="47"/>
      </w:pPr>
    </w:p>
    <w:p w14:paraId="6945224F" w14:textId="77777777" w:rsidR="00EC1F41" w:rsidRPr="004C6DDF" w:rsidRDefault="00EC1F41" w:rsidP="00EC1F41">
      <w:pPr>
        <w:autoSpaceDE w:val="0"/>
        <w:autoSpaceDN w:val="0"/>
        <w:adjustRightInd w:val="0"/>
        <w:spacing w:after="47"/>
      </w:pPr>
      <w:r w:rsidRPr="004C6DDF">
        <w:t xml:space="preserve">Acquired Brain Injury (ABI) program is designed to provide structured cognitive retraining for adults who have sustained a brain injury due to traumatic or non-traumatic injuries </w:t>
      </w:r>
    </w:p>
    <w:p w14:paraId="1C42193A" w14:textId="77777777" w:rsidR="00EC1F41" w:rsidRPr="004C6DDF" w:rsidRDefault="00EC1F41" w:rsidP="00EC1F41">
      <w:pPr>
        <w:autoSpaceDE w:val="0"/>
        <w:autoSpaceDN w:val="0"/>
        <w:adjustRightInd w:val="0"/>
        <w:spacing w:after="47"/>
      </w:pPr>
    </w:p>
    <w:p w14:paraId="2ECE8875" w14:textId="77777777" w:rsidR="00EC1F41" w:rsidRPr="004C6DDF" w:rsidRDefault="00EC1F41" w:rsidP="00EC1F41">
      <w:pPr>
        <w:autoSpaceDE w:val="0"/>
        <w:autoSpaceDN w:val="0"/>
        <w:adjustRightInd w:val="0"/>
        <w:spacing w:after="47"/>
      </w:pPr>
      <w:r w:rsidRPr="004C6DDF">
        <w:t>Through the Coastline Work-Based Learning program students turn on-the-job learning and experience into college credit that can help compress the time required to earn a certificate or Associate’s degree by following the American Council on Education guidelines.</w:t>
      </w:r>
    </w:p>
    <w:p w14:paraId="4455C7CC" w14:textId="77777777" w:rsidR="00EC1F41" w:rsidRPr="004C6DDF" w:rsidRDefault="00EC1F41" w:rsidP="00EC1F41">
      <w:pPr>
        <w:autoSpaceDE w:val="0"/>
        <w:autoSpaceDN w:val="0"/>
        <w:adjustRightInd w:val="0"/>
        <w:spacing w:after="47"/>
      </w:pPr>
    </w:p>
    <w:p w14:paraId="29DEA80A" w14:textId="77777777" w:rsidR="00EC1F41" w:rsidRPr="004C6DDF" w:rsidRDefault="00EC1F41" w:rsidP="00EC1F41">
      <w:pPr>
        <w:autoSpaceDE w:val="0"/>
        <w:autoSpaceDN w:val="0"/>
        <w:adjustRightInd w:val="0"/>
        <w:spacing w:after="47"/>
      </w:pPr>
      <w:r w:rsidRPr="004C6DDF">
        <w:t>Learning 1</w:t>
      </w:r>
      <w:r w:rsidRPr="004C6DDF">
        <w:rPr>
          <w:vertAlign w:val="superscript"/>
        </w:rPr>
        <w:t>st</w:t>
      </w:r>
      <w:r w:rsidRPr="004C6DDF">
        <w:t xml:space="preserve"> is a fully-online program that utilizes a collaborative approach to seamless student transfer to prominent, accredited, four-year universities. Coastline and the student work directly with the university to ensure completion of both an Associate and a Bachelor’s Degree in significantly less time and with an overall lower tuition cost. Degree pathways include: Business Administration, Computer Science, Human Services, Global Business, Information Systems Security, and Psychology.</w:t>
      </w:r>
    </w:p>
    <w:p w14:paraId="5DE153AF" w14:textId="77777777" w:rsidR="00EC1F41" w:rsidRPr="00AB4649" w:rsidRDefault="00EC1F41" w:rsidP="00EC1F41">
      <w:pPr>
        <w:autoSpaceDE w:val="0"/>
        <w:autoSpaceDN w:val="0"/>
        <w:adjustRightInd w:val="0"/>
      </w:pPr>
    </w:p>
    <w:p w14:paraId="2854486D" w14:textId="77777777" w:rsidR="00EC1F41" w:rsidRPr="004C6DDF" w:rsidRDefault="00EC1F41" w:rsidP="00EC1F41">
      <w:pPr>
        <w:autoSpaceDE w:val="0"/>
        <w:autoSpaceDN w:val="0"/>
        <w:adjustRightInd w:val="0"/>
      </w:pPr>
      <w:r w:rsidRPr="004C6DDF">
        <w:t xml:space="preserve">The Coastline Library provides 24/7 access to over 150,000 ebooks, digitized periodicals (journals, magazines, and newspapers), and many research and reference databases that contain encyclopedias, almanacs, atlases, and other subject-specific sources of information. These resources are freely available to students, faculty, and staff by </w:t>
      </w:r>
      <w:r w:rsidRPr="004C6DDF">
        <w:lastRenderedPageBreak/>
        <w:t>clicking on the Library link on the College home page and entering appropriate MyCCC credentials. The library provides authoritative, reliable, and academically appropriate resources through any device with internet access.</w:t>
      </w:r>
    </w:p>
    <w:p w14:paraId="446B4DFF" w14:textId="77777777" w:rsidR="00EC1F41" w:rsidRPr="004C6DDF" w:rsidRDefault="00EC1F41" w:rsidP="00EC1F41">
      <w:pPr>
        <w:autoSpaceDE w:val="0"/>
        <w:autoSpaceDN w:val="0"/>
        <w:adjustRightInd w:val="0"/>
      </w:pPr>
    </w:p>
    <w:p w14:paraId="3A55F73D" w14:textId="039392AC" w:rsidR="00EC1F41" w:rsidRPr="004C6DDF" w:rsidRDefault="00EC1F41" w:rsidP="00EC1F41">
      <w:pPr>
        <w:autoSpaceDE w:val="0"/>
        <w:autoSpaceDN w:val="0"/>
        <w:adjustRightInd w:val="0"/>
      </w:pPr>
      <w:r w:rsidRPr="004C6DDF">
        <w:t xml:space="preserve">A Veterans Resource Center (VRC) opened in spring 2012 </w:t>
      </w:r>
      <w:r w:rsidR="0052268F">
        <w:t>at</w:t>
      </w:r>
      <w:r w:rsidRPr="004C6DDF">
        <w:t xml:space="preserve"> the College Center. Coastline opened a second VRC in fall 2013 at the Newport Beach Center. VRC</w:t>
      </w:r>
      <w:r w:rsidR="0052268F">
        <w:t>s</w:t>
      </w:r>
      <w:r w:rsidRPr="004C6DDF">
        <w:t xml:space="preserve"> are community-based service centers that engage enrolled veterans, veteran-serving organizations, and community veterans who wish to support their peers. The VRCs provide a comfortable and positive environment where veterans will find access to academic resources, community referrals, networking opportunities, counseling and advisement services, computer access with Wi-Fi, a place to study, Technology assistance for those who qualify, and workshops of value to veterans. Mental health counseling is also provided by “Outside the Wire</w:t>
      </w:r>
      <w:r w:rsidR="0052268F">
        <w:t>.</w:t>
      </w:r>
      <w:r w:rsidRPr="004C6DDF">
        <w:t xml:space="preserve">” Coastline also provides the resource information available in the VRCs to students worldwide through a Virtual VRC. The goal of the VRC is to honor our veterans for their service, and to fully assist them with an effective transition and reintegration into civilian life. </w:t>
      </w:r>
    </w:p>
    <w:p w14:paraId="0EFAC0CC" w14:textId="77777777" w:rsidR="00EC1F41" w:rsidRPr="004C6DDF" w:rsidRDefault="00EC1F41" w:rsidP="00EC1F41">
      <w:pPr>
        <w:autoSpaceDE w:val="0"/>
        <w:autoSpaceDN w:val="0"/>
        <w:adjustRightInd w:val="0"/>
      </w:pPr>
    </w:p>
    <w:p w14:paraId="44C2F939" w14:textId="4C7E8326" w:rsidR="00EC1F41" w:rsidRPr="004C6DDF" w:rsidRDefault="00EC1F41" w:rsidP="00EC1F41">
      <w:pPr>
        <w:rPr>
          <w:rFonts w:ascii="Franklin Gothic Book" w:hAnsi="Franklin Gothic Book"/>
        </w:rPr>
      </w:pPr>
      <w:r w:rsidRPr="004C6DDF">
        <w:rPr>
          <w:rFonts w:ascii="Franklin Gothic Book" w:hAnsi="Franklin Gothic Book"/>
        </w:rPr>
        <w:t xml:space="preserve">In 2015-16, Coastline was again awarded another U.S. Department of Education, Title III Asian American Native American and Pacific Islander Serving Institution (AANAPISI) grant (a $1,500,000 grant with $300,000 per year for five years) to develop the New Asian American Pacific Islander Generation Initiative. The grant is focused on improving Asian American Pacific Islander (AAPI) persistence, transfer, and degree completion rates. In spring 2016, Coastline opened the Intercultural Resource Center with the Title III AANAPISI funds. Housed under the Intercultural Resource Center (IRC), the peer mentorship and leadership programs have served 120 students last year.  Along with these programs, cultural workshops such as AAPIphany, the Asian American Pacific Islander Youth Leadership Conference, are also hosted by the IRC. In addition, the grant supports the STAR learning communities at the Garden Grove Campus, professional development </w:t>
      </w:r>
      <w:r w:rsidRPr="004C6DDF">
        <w:rPr>
          <w:rFonts w:ascii="Franklin Gothic Book" w:hAnsi="Franklin Gothic Book"/>
        </w:rPr>
        <w:lastRenderedPageBreak/>
        <w:t xml:space="preserve">on cultural competency/awareness, and </w:t>
      </w:r>
      <w:r w:rsidR="0052268F">
        <w:rPr>
          <w:rFonts w:ascii="Franklin Gothic Book" w:hAnsi="Franklin Gothic Book"/>
        </w:rPr>
        <w:t>utilizing</w:t>
      </w:r>
      <w:r w:rsidRPr="004C6DDF">
        <w:rPr>
          <w:rFonts w:ascii="Franklin Gothic Book" w:hAnsi="Franklin Gothic Book"/>
        </w:rPr>
        <w:t xml:space="preserve"> the </w:t>
      </w:r>
      <w:r w:rsidR="0052268F">
        <w:rPr>
          <w:rFonts w:ascii="Franklin Gothic Book" w:hAnsi="Franklin Gothic Book"/>
        </w:rPr>
        <w:t xml:space="preserve">Civitas predictive </w:t>
      </w:r>
      <w:r w:rsidRPr="004C6DDF">
        <w:rPr>
          <w:rFonts w:ascii="Franklin Gothic Book" w:hAnsi="Franklin Gothic Book"/>
        </w:rPr>
        <w:t>analytics system</w:t>
      </w:r>
      <w:r w:rsidR="0052268F">
        <w:rPr>
          <w:rFonts w:ascii="Franklin Gothic Book" w:hAnsi="Franklin Gothic Book"/>
        </w:rPr>
        <w:t>s: Illume, Inspire for Advisors and Inspire for Faculty</w:t>
      </w:r>
      <w:r w:rsidRPr="004C6DDF">
        <w:rPr>
          <w:rFonts w:ascii="Franklin Gothic Book" w:hAnsi="Franklin Gothic Book"/>
        </w:rPr>
        <w:t xml:space="preserve"> .</w:t>
      </w:r>
    </w:p>
    <w:p w14:paraId="06DFD282" w14:textId="77777777" w:rsidR="00EC1F41" w:rsidRPr="004C6DDF" w:rsidRDefault="00EC1F41" w:rsidP="00EC1F41"/>
    <w:p w14:paraId="539B6DB0" w14:textId="77777777" w:rsidR="00EC1F41" w:rsidRPr="004C6DDF" w:rsidRDefault="00EC1F41" w:rsidP="00EC1F41">
      <w:r w:rsidRPr="004C6DDF">
        <w:t xml:space="preserve">In 2016-17, Coastline was awarded a $200,000 IEPI Innovative and Effectiveness Grant which primarily focuses on supporting the College’s movement towards Guided Pathways and enhancing student learning outcomes assessment strategies. </w:t>
      </w:r>
    </w:p>
    <w:p w14:paraId="0CCBD614" w14:textId="77777777" w:rsidR="00EC1F41" w:rsidRPr="004C6DDF" w:rsidRDefault="00EC1F41" w:rsidP="00EC1F41"/>
    <w:p w14:paraId="02E06847" w14:textId="77777777" w:rsidR="00EC1F41" w:rsidRPr="004C6DDF" w:rsidRDefault="00EC1F41" w:rsidP="00EC1F41">
      <w:r w:rsidRPr="004C6DDF">
        <w:t>In 2016-17, Coastline received $1.3 million in grant funding from the California Community College’s Chancellor’s Office for a three-year Basic Skills and Student Outcomes Acceleration Project (BSSOAP) to implement an Academic Success Coach Program, Pre-Assessment Prep Academies, and Accelerated Learning. The intent of the project is to improve student outcomes in areas of placement, success, retention, persistence, and completion in comparison to overall College rates for students in the College’s Basic Skills English and math sequences.</w:t>
      </w:r>
    </w:p>
    <w:p w14:paraId="760D294E" w14:textId="77777777" w:rsidR="00EC1F41" w:rsidRPr="004C6DDF" w:rsidRDefault="00EC1F41" w:rsidP="00EC1F41"/>
    <w:p w14:paraId="71F69A69" w14:textId="77777777" w:rsidR="00EC1F41" w:rsidRPr="004C6DDF" w:rsidRDefault="00EC1F41" w:rsidP="00EC1F41">
      <w:r w:rsidRPr="004C6DDF">
        <w:t>In 2016-17, Coastline received $1.0 million in grant funding from the California Community College’s Chancellor’s Office for a 24.5 month (possible extension to four years) California Cybersecurity Apprenticeship Project (CCAP) to focuses on an acute need for cybersecurity professionals to fill positions across the State for a variety of professional roles that exist in a stepped career pathway that leads to a position as a Cybersecurity Specialist/Technician.</w:t>
      </w:r>
    </w:p>
    <w:p w14:paraId="1C8E8F7B" w14:textId="77777777" w:rsidR="00EC1F41" w:rsidRPr="004C6DDF" w:rsidRDefault="00EC1F41" w:rsidP="00EC1F41"/>
    <w:p w14:paraId="2423135D" w14:textId="2C7A2D6F" w:rsidR="00EC1F41" w:rsidRPr="004C6DDF" w:rsidRDefault="00EC1F41" w:rsidP="00EC1F41">
      <w:r w:rsidRPr="004C6DDF">
        <w:t>In 2016-17, Coastline received $12,000 in grant funding from the California State University Chancellor’s Office for a multi-year AB 798 Textbook Affordability Program to enable Coastline faculty to adopt free and open educational materials in at least 12 course section</w:t>
      </w:r>
      <w:r w:rsidR="0052268F">
        <w:t>s</w:t>
      </w:r>
      <w:r w:rsidRPr="004C6DDF">
        <w:t xml:space="preserve"> of English and history.</w:t>
      </w:r>
    </w:p>
    <w:p w14:paraId="552AADB0" w14:textId="77777777" w:rsidR="005A4FEF" w:rsidRDefault="005A4FEF" w:rsidP="009C7E4B">
      <w:pPr>
        <w:rPr>
          <w:rFonts w:cs="Times New Roman"/>
          <w:b/>
        </w:rPr>
      </w:pPr>
    </w:p>
    <w:p w14:paraId="61562F19" w14:textId="77777777" w:rsidR="005A4FEF" w:rsidRDefault="005A4FEF" w:rsidP="009C7E4B">
      <w:pPr>
        <w:rPr>
          <w:rFonts w:cs="Times New Roman"/>
          <w:b/>
        </w:rPr>
      </w:pPr>
    </w:p>
    <w:p w14:paraId="4259BD14" w14:textId="77777777" w:rsidR="005A4FEF" w:rsidRDefault="005A4FEF" w:rsidP="009C7E4B">
      <w:pPr>
        <w:rPr>
          <w:rFonts w:cs="Times New Roman"/>
          <w:b/>
        </w:rPr>
      </w:pPr>
    </w:p>
    <w:p w14:paraId="7DA24DE6" w14:textId="011AA537" w:rsidR="009C7E4B" w:rsidRDefault="009C7E4B" w:rsidP="009C7E4B">
      <w:pPr>
        <w:rPr>
          <w:rFonts w:cs="Times New Roman"/>
          <w:b/>
        </w:rPr>
      </w:pPr>
      <w:r w:rsidRPr="00F23F3B">
        <w:rPr>
          <w:rFonts w:cs="Times New Roman"/>
          <w:b/>
        </w:rPr>
        <w:t>Golden West</w:t>
      </w:r>
    </w:p>
    <w:p w14:paraId="7640E29A" w14:textId="74B1354D" w:rsidR="00427C5A" w:rsidRDefault="00427C5A" w:rsidP="009C7E4B">
      <w:pPr>
        <w:rPr>
          <w:rFonts w:cs="Times New Roman"/>
          <w:b/>
        </w:rPr>
      </w:pPr>
    </w:p>
    <w:p w14:paraId="1739331C" w14:textId="77777777" w:rsidR="00427C5A" w:rsidRPr="004C6DDF" w:rsidRDefault="00427C5A" w:rsidP="00427C5A">
      <w:pPr>
        <w:rPr>
          <w:b/>
        </w:rPr>
      </w:pPr>
      <w:r w:rsidRPr="004C6DDF">
        <w:rPr>
          <w:b/>
        </w:rPr>
        <w:t xml:space="preserve">Reducing Basic Skills Barrier </w:t>
      </w:r>
    </w:p>
    <w:p w14:paraId="086A82C1" w14:textId="77777777" w:rsidR="00427C5A" w:rsidRPr="004C6DDF" w:rsidRDefault="00427C5A" w:rsidP="00427C5A">
      <w:pPr>
        <w:rPr>
          <w:u w:val="single"/>
        </w:rPr>
      </w:pPr>
    </w:p>
    <w:p w14:paraId="7926E7D2" w14:textId="77777777" w:rsidR="00427C5A" w:rsidRPr="004C6DDF" w:rsidRDefault="00427C5A" w:rsidP="00427C5A">
      <w:pPr>
        <w:rPr>
          <w:u w:val="single"/>
        </w:rPr>
      </w:pPr>
      <w:r w:rsidRPr="004C6DDF">
        <w:rPr>
          <w:u w:val="single"/>
        </w:rPr>
        <w:t xml:space="preserve">Multiple Measures Assessment Project </w:t>
      </w:r>
    </w:p>
    <w:p w14:paraId="64986EF4" w14:textId="7A866CF3" w:rsidR="00427C5A" w:rsidRPr="004C6DDF" w:rsidRDefault="00427C5A" w:rsidP="00427C5A">
      <w:r w:rsidRPr="004C6DDF">
        <w:t xml:space="preserve">Recognizing that completing </w:t>
      </w:r>
      <w:r w:rsidR="00ED3698">
        <w:t xml:space="preserve">the </w:t>
      </w:r>
      <w:r w:rsidRPr="004C6DDF">
        <w:t xml:space="preserve">Math and English transfer sequence can be a barrier to student success, the College embraced </w:t>
      </w:r>
      <w:r w:rsidR="00ED3698">
        <w:t xml:space="preserve">the </w:t>
      </w:r>
      <w:r w:rsidRPr="004C6DDF">
        <w:t>Multiple Measures Assessment Project</w:t>
      </w:r>
      <w:r w:rsidR="00ED3698">
        <w:t xml:space="preserve"> (MMAP)</w:t>
      </w:r>
      <w:r w:rsidRPr="004C6DDF">
        <w:t xml:space="preserve"> as a means to reduce the number of students placing into basic skills. MMAP is a state-wide initiative where colleges use high school GPA and Math course completion data to place incoming first-year students into Math and English courses. In fall 2016, GWC implemented the pilot o</w:t>
      </w:r>
      <w:r w:rsidR="00ED3698">
        <w:t>f MMAP for the first time. O</w:t>
      </w:r>
      <w:r w:rsidRPr="004C6DDF">
        <w:t xml:space="preserve">f the 872 students who took the English assessment test, 200 received at least one placement level increase in English. </w:t>
      </w:r>
      <w:r w:rsidR="00ED3698">
        <w:t>O</w:t>
      </w:r>
      <w:r w:rsidRPr="004C6DDF">
        <w:t>f the 902 students who took the Math assessment test, 88 received at least one placement level</w:t>
      </w:r>
      <w:r w:rsidR="00ED3698">
        <w:t xml:space="preserve"> increase in Math. </w:t>
      </w:r>
      <w:r w:rsidRPr="004C6DDF">
        <w:t xml:space="preserve">MMAP </w:t>
      </w:r>
      <w:r w:rsidR="00ED3698">
        <w:t>led to</w:t>
      </w:r>
      <w:r w:rsidRPr="004C6DDF">
        <w:t xml:space="preserve"> an increase in the percentage of students placing into transfer-level English from 35% to 55%, and 31% to 34% in transfer-level Math. Early data suggests that students who place into Math and English by high school transcripts have the same success rates as students placed by traditional assessment tests. </w:t>
      </w:r>
    </w:p>
    <w:p w14:paraId="46E576A9" w14:textId="77777777" w:rsidR="00427C5A" w:rsidRPr="004C6DDF" w:rsidRDefault="00427C5A" w:rsidP="00427C5A"/>
    <w:p w14:paraId="6C05FA13" w14:textId="77777777" w:rsidR="00427C5A" w:rsidRPr="004C6DDF" w:rsidRDefault="00427C5A" w:rsidP="00427C5A">
      <w:pPr>
        <w:rPr>
          <w:u w:val="single"/>
        </w:rPr>
      </w:pPr>
      <w:r w:rsidRPr="004C6DDF">
        <w:rPr>
          <w:u w:val="single"/>
        </w:rPr>
        <w:t>Curriculum Development</w:t>
      </w:r>
    </w:p>
    <w:p w14:paraId="3C578C16" w14:textId="76BA9E82" w:rsidR="00427C5A" w:rsidRPr="004C6DDF" w:rsidRDefault="00427C5A" w:rsidP="00427C5A">
      <w:r w:rsidRPr="004C6DDF">
        <w:t>The college also developed three new courses aimed at reducing the number of semesters students must complete in order to meet the basic skills requirements. In spring 2017, GWC’s Council for Curriculum and Instruction (CCI) approved a new course called English G090, which combines English G098 and English G099, eliminating one semester of basic skills English. Additionally, CCI also approved Math G040, which combines Math G010 and Math G030, also eliminating one semester of basic skills Math. Additionally, the Developmental Mathematics faculty members created MATH G080, Pre-statistics, a course available for non-STEM majors that prepares students for the transfer-level statistic courses. </w:t>
      </w:r>
    </w:p>
    <w:p w14:paraId="05A5F21A" w14:textId="77777777" w:rsidR="00427C5A" w:rsidRPr="004C6DDF" w:rsidRDefault="00427C5A" w:rsidP="00427C5A">
      <w:pPr>
        <w:rPr>
          <w:rFonts w:cs="Arial"/>
          <w:highlight w:val="yellow"/>
          <w:u w:val="single"/>
        </w:rPr>
      </w:pPr>
    </w:p>
    <w:p w14:paraId="65AE6112" w14:textId="77777777" w:rsidR="00427C5A" w:rsidRPr="004C6DDF" w:rsidRDefault="00427C5A" w:rsidP="00427C5A">
      <w:pPr>
        <w:rPr>
          <w:b/>
        </w:rPr>
      </w:pPr>
      <w:r w:rsidRPr="004C6DDF">
        <w:rPr>
          <w:b/>
        </w:rPr>
        <w:lastRenderedPageBreak/>
        <w:t>Student-Athlete Academic Success Center and Mentoring Programs</w:t>
      </w:r>
    </w:p>
    <w:p w14:paraId="6DCEE22D" w14:textId="77777777" w:rsidR="00427C5A" w:rsidRPr="004C6DDF" w:rsidRDefault="00427C5A" w:rsidP="00427C5A">
      <w:pPr>
        <w:rPr>
          <w:b/>
        </w:rPr>
      </w:pPr>
    </w:p>
    <w:p w14:paraId="34C7D51B" w14:textId="31BDEA35" w:rsidR="00427C5A" w:rsidRPr="004C6DDF" w:rsidRDefault="00427C5A" w:rsidP="00427C5A">
      <w:r w:rsidRPr="004C6DDF">
        <w:t>The implementation of the Student-Athlete Academic Success Center and mentoring programs has had a tremendous impact on</w:t>
      </w:r>
      <w:r w:rsidR="00ED3698">
        <w:t xml:space="preserve"> student learning and success. </w:t>
      </w:r>
      <w:r w:rsidRPr="004C6DDF">
        <w:t xml:space="preserve">As the most ethnically diverse cohort on campus, and with the most stringent requirements for participation, these initiatives have demonstrated effectiveness in improving participants’ GPA, </w:t>
      </w:r>
      <w:r w:rsidR="008419E6">
        <w:t>units passed, and eligibility. </w:t>
      </w:r>
      <w:r w:rsidRPr="004C6DDF">
        <w:t xml:space="preserve">Participants in the mentoring program showed over a </w:t>
      </w:r>
      <w:r w:rsidR="008419E6">
        <w:t>half point improvement in GPA. </w:t>
      </w:r>
      <w:r w:rsidRPr="004C6DDF">
        <w:t>The Student-Athlete Academic Success Center has grown to more than 200 participants per week, and there are now “drop-in” counseling hours within the center which is proving to be extremely helpful.</w:t>
      </w:r>
    </w:p>
    <w:p w14:paraId="714730EA" w14:textId="77777777" w:rsidR="00427C5A" w:rsidRPr="004C6DDF" w:rsidRDefault="00427C5A" w:rsidP="00427C5A"/>
    <w:p w14:paraId="532C857B" w14:textId="77777777" w:rsidR="00427C5A" w:rsidRPr="004C6DDF" w:rsidRDefault="00427C5A" w:rsidP="00427C5A">
      <w:pPr>
        <w:rPr>
          <w:b/>
        </w:rPr>
      </w:pPr>
      <w:r w:rsidRPr="004C6DDF">
        <w:rPr>
          <w:b/>
        </w:rPr>
        <w:t xml:space="preserve">Workforce Development </w:t>
      </w:r>
    </w:p>
    <w:p w14:paraId="6E099EEA" w14:textId="77777777" w:rsidR="00427C5A" w:rsidRPr="004C6DDF" w:rsidRDefault="00427C5A" w:rsidP="00427C5A"/>
    <w:p w14:paraId="0222720B" w14:textId="5F519DE7" w:rsidR="00427C5A" w:rsidRPr="004C6DDF" w:rsidRDefault="00427C5A" w:rsidP="00427C5A">
      <w:r w:rsidRPr="004C6DDF">
        <w:t>GWC hosted two Job and Career Fairs during the 2016-17 acad</w:t>
      </w:r>
      <w:r w:rsidR="008419E6">
        <w:t>emic year. </w:t>
      </w:r>
      <w:r w:rsidRPr="004C6DDF">
        <w:t>For the first time in over a decade, the college hosted a fall fair which was attended by 56 employers and over 300 students. The fall event included both full-time employment opportunities and seasonal part-time positions, in everything from home healthcare services to public service and police department programs. The spring 2017 fair included representatives from over 70 companies who engaged with over 400 interested students, many of whom provided résumés and scheduled individual interviews.</w:t>
      </w:r>
    </w:p>
    <w:p w14:paraId="7E7DCD5C" w14:textId="77777777" w:rsidR="00427C5A" w:rsidRPr="004C6DDF" w:rsidRDefault="00427C5A" w:rsidP="00427C5A"/>
    <w:p w14:paraId="3B3C3990" w14:textId="18D9E068" w:rsidR="00427C5A" w:rsidRPr="004C6DDF" w:rsidRDefault="00427C5A" w:rsidP="00427C5A">
      <w:r w:rsidRPr="004C6DDF">
        <w:t xml:space="preserve">GWC was awarded a California Community Colleges Makers Seed Grant for </w:t>
      </w:r>
      <w:r w:rsidR="008419E6">
        <w:t>s</w:t>
      </w:r>
      <w:r w:rsidRPr="004C6DDF">
        <w:t>pring 2017 to further develop and advance plans for a campus Innovation Center. The grant involved faculty, students, K12 partners, and the business community in designing plans for an Innovation Center and fabrication shop where Design Thinking courses and prototyping could take place. The curriculum and project-based learning lab will welcome faculty and students from multiple disciplines and encourage innovation based on ideation, teamwork, research, design, prototyping, and presentation.</w:t>
      </w:r>
    </w:p>
    <w:p w14:paraId="10790C87" w14:textId="77777777" w:rsidR="00427C5A" w:rsidRPr="001A4D17" w:rsidRDefault="00427C5A" w:rsidP="00427C5A">
      <w:pPr>
        <w:rPr>
          <w:color w:val="FF0000"/>
        </w:rPr>
      </w:pPr>
    </w:p>
    <w:p w14:paraId="0EE247E6" w14:textId="77777777" w:rsidR="00427C5A" w:rsidRPr="001A4D17" w:rsidRDefault="00427C5A" w:rsidP="00427C5A">
      <w:pPr>
        <w:rPr>
          <w:color w:val="FF0000"/>
        </w:rPr>
      </w:pPr>
    </w:p>
    <w:p w14:paraId="19ED0684" w14:textId="77777777" w:rsidR="00427C5A" w:rsidRPr="004C6DDF" w:rsidRDefault="00427C5A" w:rsidP="00427C5A">
      <w:pPr>
        <w:rPr>
          <w:b/>
          <w:bCs/>
        </w:rPr>
      </w:pPr>
      <w:r w:rsidRPr="004C6DDF">
        <w:rPr>
          <w:b/>
          <w:bCs/>
        </w:rPr>
        <w:t>Center for International and Intercultural Programs (CIIP)</w:t>
      </w:r>
    </w:p>
    <w:p w14:paraId="351FC621" w14:textId="77777777" w:rsidR="00427C5A" w:rsidRPr="004C6DDF" w:rsidRDefault="00427C5A" w:rsidP="00427C5A">
      <w:pPr>
        <w:rPr>
          <w:b/>
          <w:bCs/>
        </w:rPr>
      </w:pPr>
    </w:p>
    <w:p w14:paraId="1F00A11A" w14:textId="77777777" w:rsidR="00427C5A" w:rsidRPr="004C6DDF" w:rsidRDefault="00427C5A" w:rsidP="00427C5A">
      <w:pPr>
        <w:rPr>
          <w:bCs/>
        </w:rPr>
      </w:pPr>
      <w:r w:rsidRPr="004C6DDF">
        <w:rPr>
          <w:bCs/>
        </w:rPr>
        <w:t>The GWC Center for International and Intercultural Programs (CIIP) led a yearlong series of co-curricular activities intended to positively impact student success, learning, and development.</w:t>
      </w:r>
    </w:p>
    <w:p w14:paraId="7631365D" w14:textId="77777777" w:rsidR="00427C5A" w:rsidRPr="004C6DDF" w:rsidRDefault="00427C5A" w:rsidP="00427C5A">
      <w:pPr>
        <w:rPr>
          <w:bCs/>
        </w:rPr>
      </w:pPr>
    </w:p>
    <w:p w14:paraId="58FF7868" w14:textId="77777777" w:rsidR="00427C5A" w:rsidRPr="004C6DDF" w:rsidRDefault="00427C5A" w:rsidP="00427C5A">
      <w:pPr>
        <w:rPr>
          <w:bCs/>
          <w:u w:val="single"/>
        </w:rPr>
      </w:pPr>
      <w:r w:rsidRPr="004C6DDF">
        <w:rPr>
          <w:bCs/>
          <w:u w:val="single"/>
        </w:rPr>
        <w:t>Study Abroad</w:t>
      </w:r>
    </w:p>
    <w:p w14:paraId="5BBB19E7" w14:textId="7982AFEC" w:rsidR="00427C5A" w:rsidRPr="004C6DDF" w:rsidRDefault="00427C5A" w:rsidP="00427C5A">
      <w:pPr>
        <w:tabs>
          <w:tab w:val="left" w:pos="360"/>
        </w:tabs>
        <w:rPr>
          <w:bCs/>
        </w:rPr>
      </w:pPr>
      <w:r w:rsidRPr="004C6DDF">
        <w:rPr>
          <w:bCs/>
        </w:rPr>
        <w:t xml:space="preserve">Twenty-three GWC students participated in the Study Abroad Program to London, England. Led by Professor David Moore, the students completed the three unit course, </w:t>
      </w:r>
      <w:r w:rsidRPr="004C6DDF">
        <w:rPr>
          <w:bCs/>
          <w:i/>
        </w:rPr>
        <w:t xml:space="preserve">History of Britain, </w:t>
      </w:r>
      <w:r w:rsidRPr="004C6DDF">
        <w:rPr>
          <w:bCs/>
        </w:rPr>
        <w:t xml:space="preserve">while residing in Central London for five weeks. </w:t>
      </w:r>
    </w:p>
    <w:p w14:paraId="33DD90E1" w14:textId="77777777" w:rsidR="00427C5A" w:rsidRPr="004C6DDF" w:rsidRDefault="00427C5A" w:rsidP="00427C5A">
      <w:pPr>
        <w:rPr>
          <w:bCs/>
        </w:rPr>
      </w:pPr>
    </w:p>
    <w:p w14:paraId="10AA1C77" w14:textId="77777777" w:rsidR="00427C5A" w:rsidRPr="004C6DDF" w:rsidRDefault="00427C5A" w:rsidP="00427C5A">
      <w:pPr>
        <w:rPr>
          <w:b/>
        </w:rPr>
      </w:pPr>
      <w:r w:rsidRPr="004C6DDF">
        <w:rPr>
          <w:b/>
        </w:rPr>
        <w:t>Student Equity</w:t>
      </w:r>
    </w:p>
    <w:p w14:paraId="6912AFAF" w14:textId="77777777" w:rsidR="00427C5A" w:rsidRPr="004C6DDF" w:rsidRDefault="00427C5A" w:rsidP="00427C5A"/>
    <w:p w14:paraId="0CEABE18" w14:textId="77777777" w:rsidR="00427C5A" w:rsidRPr="004C6DDF" w:rsidRDefault="00427C5A" w:rsidP="00427C5A">
      <w:r w:rsidRPr="004C6DDF">
        <w:t xml:space="preserve">Increasing institutional equity awareness has been at the forefront in the Student Equity office at Golden West College.  The 2016-17 academic year focused on increasing equity awareness of academic and racial inequities in order to shift the campus culture towards institutional responsibility versus student responsibility in response to academic barriers and success. </w:t>
      </w:r>
    </w:p>
    <w:p w14:paraId="248B5951" w14:textId="77777777" w:rsidR="00427C5A" w:rsidRPr="004C6DDF" w:rsidRDefault="00427C5A" w:rsidP="00427C5A"/>
    <w:p w14:paraId="10EE2D8E" w14:textId="77777777" w:rsidR="00427C5A" w:rsidRPr="004C6DDF" w:rsidRDefault="00427C5A" w:rsidP="00427C5A">
      <w:r w:rsidRPr="004C6DDF">
        <w:t xml:space="preserve">Some of the equity initiatives included inquiry work from the Equity Evidence Team focusing on syllabi reviews, classroom observations, and student surveys in an attempt to address equity achievement gaps in relation to access, persistence, and completion within the classroom. </w:t>
      </w:r>
    </w:p>
    <w:p w14:paraId="1C564BBF" w14:textId="77777777" w:rsidR="00427C5A" w:rsidRPr="004C6DDF" w:rsidRDefault="00427C5A" w:rsidP="00427C5A"/>
    <w:p w14:paraId="35A4A9D7" w14:textId="77777777" w:rsidR="00427C5A" w:rsidRPr="004C6DDF" w:rsidRDefault="00427C5A" w:rsidP="00427C5A">
      <w:r w:rsidRPr="004C6DDF">
        <w:t>In spring 2017, the campus hosted Equity Awareness Day for all campus faculty, staff, and management.  The day focused on increasing awareness on various equity initiatives including the work of the GWC Equity Evidence Team as well as a guest speaker delivering a workshop on the neuroscience of decision-making in higher education.</w:t>
      </w:r>
    </w:p>
    <w:p w14:paraId="4D56B66B" w14:textId="77777777" w:rsidR="00427C5A" w:rsidRPr="004C6DDF" w:rsidRDefault="00427C5A" w:rsidP="009C7E4B">
      <w:pPr>
        <w:rPr>
          <w:rFonts w:cs="Times New Roman"/>
          <w:b/>
        </w:rPr>
      </w:pPr>
    </w:p>
    <w:p w14:paraId="28682024" w14:textId="77777777" w:rsidR="009626D1" w:rsidRPr="001E2377" w:rsidRDefault="009626D1" w:rsidP="009626D1">
      <w:pPr>
        <w:rPr>
          <w:b/>
          <w:color w:val="000000" w:themeColor="text1"/>
        </w:rPr>
      </w:pPr>
      <w:r w:rsidRPr="001E2377">
        <w:rPr>
          <w:b/>
          <w:color w:val="000000" w:themeColor="text1"/>
        </w:rPr>
        <w:t>Orange Coast</w:t>
      </w:r>
    </w:p>
    <w:p w14:paraId="09DE6250" w14:textId="77777777" w:rsidR="005D7AF0" w:rsidRDefault="005D7AF0" w:rsidP="007019F4">
      <w:pPr>
        <w:rPr>
          <w:color w:val="000000" w:themeColor="text1"/>
        </w:rPr>
      </w:pPr>
    </w:p>
    <w:p w14:paraId="32235700" w14:textId="77777777" w:rsidR="007019F4" w:rsidRPr="00001192" w:rsidRDefault="007019F4" w:rsidP="007019F4">
      <w:pPr>
        <w:rPr>
          <w:color w:val="000000" w:themeColor="text1"/>
        </w:rPr>
      </w:pPr>
      <w:r>
        <w:rPr>
          <w:color w:val="000000" w:themeColor="text1"/>
        </w:rPr>
        <w:t xml:space="preserve">Orange Coast College </w:t>
      </w:r>
      <w:r w:rsidRPr="00001192">
        <w:rPr>
          <w:color w:val="000000" w:themeColor="text1"/>
        </w:rPr>
        <w:t>consistently evaluates and improves its basic skills, academic, and career technical education curriculum and programs to meet st</w:t>
      </w:r>
      <w:r>
        <w:rPr>
          <w:color w:val="000000" w:themeColor="text1"/>
        </w:rPr>
        <w:t>udent and community needs. The c</w:t>
      </w:r>
      <w:r w:rsidRPr="00001192">
        <w:rPr>
          <w:color w:val="000000" w:themeColor="text1"/>
        </w:rPr>
        <w:t>ollege’s program review and planning processes play a central role in facilitating this change. The ongoing analysis of data trends an</w:t>
      </w:r>
      <w:r>
        <w:rPr>
          <w:color w:val="000000" w:themeColor="text1"/>
        </w:rPr>
        <w:t>d campus dialogue have led the c</w:t>
      </w:r>
      <w:r w:rsidRPr="00001192">
        <w:rPr>
          <w:color w:val="000000" w:themeColor="text1"/>
        </w:rPr>
        <w:t>ollege to focus on five priority areas geared towards increasing completion and engagement among its diverse student population:</w:t>
      </w:r>
    </w:p>
    <w:p w14:paraId="10CD6F99" w14:textId="77777777" w:rsidR="007019F4" w:rsidRPr="00001192" w:rsidRDefault="007019F4" w:rsidP="007019F4">
      <w:pPr>
        <w:pStyle w:val="ListParagraph"/>
        <w:numPr>
          <w:ilvl w:val="0"/>
          <w:numId w:val="26"/>
        </w:numPr>
        <w:rPr>
          <w:color w:val="000000" w:themeColor="text1"/>
          <w:sz w:val="22"/>
        </w:rPr>
      </w:pPr>
      <w:r w:rsidRPr="00001192">
        <w:rPr>
          <w:color w:val="000000" w:themeColor="text1"/>
          <w:sz w:val="22"/>
        </w:rPr>
        <w:t xml:space="preserve">A Culture of Meaningful Engagement </w:t>
      </w:r>
    </w:p>
    <w:p w14:paraId="343EF6D5" w14:textId="77777777" w:rsidR="007019F4" w:rsidRPr="00001192" w:rsidRDefault="007019F4" w:rsidP="007019F4">
      <w:pPr>
        <w:pStyle w:val="ListParagraph"/>
        <w:numPr>
          <w:ilvl w:val="0"/>
          <w:numId w:val="26"/>
        </w:numPr>
        <w:rPr>
          <w:color w:val="000000" w:themeColor="text1"/>
          <w:sz w:val="22"/>
        </w:rPr>
      </w:pPr>
      <w:r w:rsidRPr="00001192">
        <w:rPr>
          <w:color w:val="000000" w:themeColor="text1"/>
          <w:sz w:val="22"/>
        </w:rPr>
        <w:t>Equity and Diversity</w:t>
      </w:r>
    </w:p>
    <w:p w14:paraId="6E901055" w14:textId="77777777" w:rsidR="007019F4" w:rsidRPr="00001192" w:rsidRDefault="007019F4" w:rsidP="007019F4">
      <w:pPr>
        <w:pStyle w:val="ListParagraph"/>
        <w:numPr>
          <w:ilvl w:val="0"/>
          <w:numId w:val="26"/>
        </w:numPr>
        <w:rPr>
          <w:color w:val="000000" w:themeColor="text1"/>
          <w:sz w:val="22"/>
        </w:rPr>
      </w:pPr>
      <w:r w:rsidRPr="00001192">
        <w:rPr>
          <w:color w:val="000000" w:themeColor="text1"/>
          <w:sz w:val="22"/>
        </w:rPr>
        <w:t>Access to Success - Pathways</w:t>
      </w:r>
    </w:p>
    <w:p w14:paraId="27CF8D9C" w14:textId="77777777" w:rsidR="007019F4" w:rsidRPr="00001192" w:rsidRDefault="007019F4" w:rsidP="007019F4">
      <w:pPr>
        <w:pStyle w:val="ListParagraph"/>
        <w:numPr>
          <w:ilvl w:val="0"/>
          <w:numId w:val="26"/>
        </w:numPr>
        <w:rPr>
          <w:color w:val="000000" w:themeColor="text1"/>
          <w:sz w:val="22"/>
        </w:rPr>
      </w:pPr>
      <w:r w:rsidRPr="00001192">
        <w:rPr>
          <w:color w:val="000000" w:themeColor="text1"/>
          <w:sz w:val="22"/>
        </w:rPr>
        <w:t>Holistic Framework for Student Development</w:t>
      </w:r>
    </w:p>
    <w:p w14:paraId="60784F8B" w14:textId="77777777" w:rsidR="007019F4" w:rsidRDefault="007019F4" w:rsidP="007019F4">
      <w:pPr>
        <w:pStyle w:val="ListParagraph"/>
        <w:numPr>
          <w:ilvl w:val="0"/>
          <w:numId w:val="26"/>
        </w:numPr>
        <w:rPr>
          <w:color w:val="000000" w:themeColor="text1"/>
          <w:sz w:val="22"/>
        </w:rPr>
      </w:pPr>
      <w:r w:rsidRPr="00001192">
        <w:rPr>
          <w:color w:val="000000" w:themeColor="text1"/>
          <w:sz w:val="22"/>
        </w:rPr>
        <w:t xml:space="preserve">Infrastructure to Support Services and Learning </w:t>
      </w:r>
    </w:p>
    <w:p w14:paraId="02907858" w14:textId="77777777" w:rsidR="007019F4" w:rsidRPr="00001192" w:rsidRDefault="007019F4" w:rsidP="007019F4">
      <w:pPr>
        <w:rPr>
          <w:color w:val="000000" w:themeColor="text1"/>
          <w:u w:val="single"/>
        </w:rPr>
      </w:pPr>
      <w:r w:rsidRPr="00001192">
        <w:rPr>
          <w:color w:val="000000" w:themeColor="text1"/>
          <w:u w:val="single"/>
        </w:rPr>
        <w:t>Culture of Meaningful Engagement</w:t>
      </w:r>
    </w:p>
    <w:p w14:paraId="7B656A35" w14:textId="29864433" w:rsidR="007019F4" w:rsidRDefault="007019F4" w:rsidP="007019F4">
      <w:pPr>
        <w:rPr>
          <w:color w:val="000000" w:themeColor="text1"/>
        </w:rPr>
      </w:pPr>
      <w:r w:rsidRPr="00001192">
        <w:rPr>
          <w:color w:val="000000" w:themeColor="text1"/>
        </w:rPr>
        <w:t xml:space="preserve">Orange Coast College is expanding and increasing engagement at all levels of the campus (students, faculty, staff and management) by promoting formal and informal interactions. Both physical and cultural “community spheres” are being developed to bring people together. For example, the campus has created a Multicultural Center to be a meeting place for faculty, students, staff, and community members to promote and celebrate cultural affairs. </w:t>
      </w:r>
      <w:r>
        <w:rPr>
          <w:color w:val="000000" w:themeColor="text1"/>
        </w:rPr>
        <w:t xml:space="preserve">A focused effort with professional development with the addition of two dedicated professional development days for all campus employees as well as the Coordinated Leadership Development grant has provided opportunities for faculty, staff and managers to improve leadership, trust, interpersonal dynamics and professional skills to become a more effective institution. In addition, during 2016-2017, 81 employees were recognized for their dedication and work. These celebration and recognition events give employees the time to connect with each other, formally and informally, and to celebrate accomplishments. All training programs offered by the Professional Development Office include informal interactive components that encourage conversation and connection </w:t>
      </w:r>
      <w:r>
        <w:rPr>
          <w:color w:val="000000" w:themeColor="text1"/>
        </w:rPr>
        <w:lastRenderedPageBreak/>
        <w:t>among employees. The n</w:t>
      </w:r>
      <w:r w:rsidR="008419E6">
        <w:rPr>
          <w:color w:val="000000" w:themeColor="text1"/>
        </w:rPr>
        <w:t>ew tenure track faculty academy</w:t>
      </w:r>
      <w:r>
        <w:rPr>
          <w:color w:val="000000" w:themeColor="text1"/>
        </w:rPr>
        <w:t xml:space="preserve"> is a successful addition to professional development offerings that works with 1</w:t>
      </w:r>
      <w:r w:rsidRPr="00DA7AA1">
        <w:rPr>
          <w:color w:val="000000" w:themeColor="text1"/>
          <w:vertAlign w:val="superscript"/>
        </w:rPr>
        <w:t>st</w:t>
      </w:r>
      <w:r>
        <w:rPr>
          <w:color w:val="000000" w:themeColor="text1"/>
        </w:rPr>
        <w:t xml:space="preserve"> and 2</w:t>
      </w:r>
      <w:r w:rsidRPr="00DA7AA1">
        <w:rPr>
          <w:color w:val="000000" w:themeColor="text1"/>
          <w:vertAlign w:val="superscript"/>
        </w:rPr>
        <w:t>nd</w:t>
      </w:r>
      <w:r>
        <w:rPr>
          <w:color w:val="000000" w:themeColor="text1"/>
        </w:rPr>
        <w:t xml:space="preserve"> year faculty to acclimate them to community college, OCC and pertinen</w:t>
      </w:r>
      <w:r w:rsidR="008419E6">
        <w:rPr>
          <w:color w:val="000000" w:themeColor="text1"/>
        </w:rPr>
        <w:t xml:space="preserve">t issues in higher education. </w:t>
      </w:r>
    </w:p>
    <w:p w14:paraId="1EF32C11" w14:textId="77777777" w:rsidR="008419E6" w:rsidRPr="00001192" w:rsidRDefault="008419E6" w:rsidP="007019F4">
      <w:pPr>
        <w:rPr>
          <w:color w:val="000000" w:themeColor="text1"/>
        </w:rPr>
      </w:pPr>
    </w:p>
    <w:p w14:paraId="7CA873D4" w14:textId="77777777" w:rsidR="007019F4" w:rsidRPr="00001192" w:rsidRDefault="007019F4" w:rsidP="007019F4">
      <w:pPr>
        <w:rPr>
          <w:color w:val="000000" w:themeColor="text1"/>
          <w:u w:val="single"/>
        </w:rPr>
      </w:pPr>
      <w:r w:rsidRPr="00001192">
        <w:rPr>
          <w:color w:val="000000" w:themeColor="text1"/>
          <w:u w:val="single"/>
        </w:rPr>
        <w:t>Equity and Diversity</w:t>
      </w:r>
    </w:p>
    <w:p w14:paraId="6570979B" w14:textId="2ACAC8EB" w:rsidR="007019F4" w:rsidRDefault="002B5EF4" w:rsidP="00437EAE">
      <w:pPr>
        <w:rPr>
          <w:color w:val="000000" w:themeColor="text1"/>
        </w:rPr>
      </w:pPr>
      <w:r>
        <w:rPr>
          <w:color w:val="000000" w:themeColor="text1"/>
        </w:rPr>
        <w:t>The C</w:t>
      </w:r>
      <w:r w:rsidR="007019F4" w:rsidRPr="00001192">
        <w:rPr>
          <w:color w:val="000000" w:themeColor="text1"/>
        </w:rPr>
        <w:t>ollege has been implementing its Student Success and Services Program (SSSP) plan, Student Equity Plan, and Basic Skills Initiative (BSI) plan through campus wide inclusive and collaborative processes.  In addition, the College is supporting internationalization through a renovated Global Engagement Center and various recruitment and partnership efforts. As a result, the number of international students attending the College as credit students under student visas nearly doubled from 2011 to</w:t>
      </w:r>
      <w:r w:rsidR="007019F4">
        <w:rPr>
          <w:color w:val="000000" w:themeColor="text1"/>
        </w:rPr>
        <w:t xml:space="preserve"> 2016</w:t>
      </w:r>
      <w:r w:rsidR="007019F4" w:rsidRPr="00001192">
        <w:rPr>
          <w:color w:val="000000" w:themeColor="text1"/>
        </w:rPr>
        <w:t xml:space="preserve">. In </w:t>
      </w:r>
      <w:r w:rsidR="007019F4">
        <w:rPr>
          <w:color w:val="000000" w:themeColor="text1"/>
        </w:rPr>
        <w:t>2016</w:t>
      </w:r>
      <w:r w:rsidR="007019F4" w:rsidRPr="00001192">
        <w:rPr>
          <w:color w:val="000000" w:themeColor="text1"/>
        </w:rPr>
        <w:t xml:space="preserve">, international students </w:t>
      </w:r>
      <w:r w:rsidR="007019F4">
        <w:rPr>
          <w:color w:val="000000" w:themeColor="text1"/>
        </w:rPr>
        <w:t>represented</w:t>
      </w:r>
      <w:r w:rsidR="007019F4" w:rsidRPr="00001192">
        <w:rPr>
          <w:color w:val="000000" w:themeColor="text1"/>
        </w:rPr>
        <w:t xml:space="preserve"> </w:t>
      </w:r>
      <w:r w:rsidR="007019F4">
        <w:rPr>
          <w:color w:val="000000" w:themeColor="text1"/>
        </w:rPr>
        <w:t>7.6%</w:t>
      </w:r>
      <w:r w:rsidR="007019F4" w:rsidRPr="00001192">
        <w:rPr>
          <w:color w:val="000000" w:themeColor="text1"/>
        </w:rPr>
        <w:t xml:space="preserve"> of th</w:t>
      </w:r>
      <w:r w:rsidR="007019F4">
        <w:rPr>
          <w:color w:val="000000" w:themeColor="text1"/>
        </w:rPr>
        <w:t>e total student he</w:t>
      </w:r>
      <w:r>
        <w:rPr>
          <w:color w:val="000000" w:themeColor="text1"/>
        </w:rPr>
        <w:t>adcount. The C</w:t>
      </w:r>
      <w:r w:rsidR="007019F4" w:rsidRPr="00001192">
        <w:rPr>
          <w:color w:val="000000" w:themeColor="text1"/>
        </w:rPr>
        <w:t xml:space="preserve">ollege started a new intensive English program (IEC @ OCC) and will be admitting international students to this program effective </w:t>
      </w:r>
      <w:r w:rsidR="007019F4">
        <w:rPr>
          <w:color w:val="000000" w:themeColor="text1"/>
        </w:rPr>
        <w:t>s</w:t>
      </w:r>
      <w:r w:rsidR="007019F4" w:rsidRPr="00001192">
        <w:rPr>
          <w:color w:val="000000" w:themeColor="text1"/>
        </w:rPr>
        <w:t xml:space="preserve">pring 2018.  </w:t>
      </w:r>
    </w:p>
    <w:p w14:paraId="408A983E" w14:textId="77777777" w:rsidR="002B5EF4" w:rsidRPr="00001192" w:rsidRDefault="002B5EF4" w:rsidP="00437EAE">
      <w:pPr>
        <w:rPr>
          <w:color w:val="000000" w:themeColor="text1"/>
        </w:rPr>
      </w:pPr>
    </w:p>
    <w:p w14:paraId="2B74FE6F" w14:textId="7D8CCC30" w:rsidR="007019F4" w:rsidRDefault="002B5EF4" w:rsidP="00437EAE">
      <w:pPr>
        <w:rPr>
          <w:color w:val="000000" w:themeColor="text1"/>
        </w:rPr>
      </w:pPr>
      <w:r>
        <w:rPr>
          <w:color w:val="000000" w:themeColor="text1"/>
        </w:rPr>
        <w:t>T</w:t>
      </w:r>
      <w:r w:rsidR="007019F4" w:rsidRPr="00001192">
        <w:rPr>
          <w:color w:val="000000" w:themeColor="text1"/>
        </w:rPr>
        <w:t xml:space="preserve">rends over the last four years also reflect increasing ethnic diversity of employees on campus, reflecting OCC’s increasingly diverse student population. </w:t>
      </w:r>
      <w:r w:rsidR="007019F4">
        <w:rPr>
          <w:color w:val="000000" w:themeColor="text1"/>
        </w:rPr>
        <w:t>The p</w:t>
      </w:r>
      <w:r w:rsidR="007019F4" w:rsidRPr="00001192">
        <w:rPr>
          <w:color w:val="000000" w:themeColor="text1"/>
        </w:rPr>
        <w:t xml:space="preserve">ercent </w:t>
      </w:r>
      <w:r w:rsidR="007019F4">
        <w:rPr>
          <w:color w:val="000000" w:themeColor="text1"/>
        </w:rPr>
        <w:t xml:space="preserve">of </w:t>
      </w:r>
      <w:r w:rsidR="007019F4" w:rsidRPr="00001192">
        <w:rPr>
          <w:color w:val="000000" w:themeColor="text1"/>
        </w:rPr>
        <w:t xml:space="preserve">minorities among administrators/ managers has increased </w:t>
      </w:r>
      <w:r w:rsidR="007019F4">
        <w:rPr>
          <w:color w:val="000000" w:themeColor="text1"/>
        </w:rPr>
        <w:t>24%</w:t>
      </w:r>
      <w:r w:rsidR="007019F4" w:rsidRPr="00001192">
        <w:rPr>
          <w:color w:val="000000" w:themeColor="text1"/>
        </w:rPr>
        <w:t xml:space="preserve"> over the last five years, while classified staff increased </w:t>
      </w:r>
      <w:r w:rsidR="007019F4">
        <w:rPr>
          <w:color w:val="000000" w:themeColor="text1"/>
        </w:rPr>
        <w:t>10%</w:t>
      </w:r>
      <w:r w:rsidR="007019F4" w:rsidRPr="00001192">
        <w:rPr>
          <w:color w:val="000000" w:themeColor="text1"/>
        </w:rPr>
        <w:t xml:space="preserve"> and full-time faculty </w:t>
      </w:r>
      <w:r w:rsidR="007019F4">
        <w:rPr>
          <w:color w:val="000000" w:themeColor="text1"/>
        </w:rPr>
        <w:t xml:space="preserve">12% </w:t>
      </w:r>
      <w:r w:rsidR="007019F4" w:rsidRPr="00001192">
        <w:rPr>
          <w:color w:val="000000" w:themeColor="text1"/>
        </w:rPr>
        <w:t xml:space="preserve">over the same time period. </w:t>
      </w:r>
      <w:r w:rsidR="007019F4">
        <w:rPr>
          <w:color w:val="000000" w:themeColor="text1"/>
        </w:rPr>
        <w:t>In cooperation with the district, OCC is actively working on increasing the diversity of its employees, starting with a project in fall 2017 to make faculty hiring mate</w:t>
      </w:r>
      <w:r>
        <w:rPr>
          <w:color w:val="000000" w:themeColor="text1"/>
        </w:rPr>
        <w:t>rials more equity-focused. The C</w:t>
      </w:r>
      <w:r w:rsidR="007019F4">
        <w:rPr>
          <w:color w:val="000000" w:themeColor="text1"/>
        </w:rPr>
        <w:t xml:space="preserve">ollege’s equity plan has led to a number of focused diversity and inclusion activities geared towards increasing awareness and understanding of equity issues among students, staff, management and faculty. Examples include components within the Tenure Track Faculty Academy, summer faculty academies, and Center for Urban Education workshops to help diversify faculty hiring. </w:t>
      </w:r>
    </w:p>
    <w:p w14:paraId="6268A43A" w14:textId="77777777" w:rsidR="00437EAE" w:rsidRDefault="00437EAE" w:rsidP="00437EAE">
      <w:pPr>
        <w:autoSpaceDE w:val="0"/>
        <w:autoSpaceDN w:val="0"/>
        <w:adjustRightInd w:val="0"/>
      </w:pPr>
    </w:p>
    <w:p w14:paraId="4251BC18" w14:textId="05A9E3F9" w:rsidR="007019F4" w:rsidRDefault="002B5EF4" w:rsidP="00437EAE">
      <w:pPr>
        <w:autoSpaceDE w:val="0"/>
        <w:autoSpaceDN w:val="0"/>
        <w:adjustRightInd w:val="0"/>
      </w:pPr>
      <w:r>
        <w:lastRenderedPageBreak/>
        <w:t>The C</w:t>
      </w:r>
      <w:r w:rsidR="007019F4" w:rsidRPr="008C0C24">
        <w:t>ollege has resource centers for students of low income, first generation, diverse cultures, and varying backgrounds on campus that focus on addressing the challenges they face in transferring. Each center below tailors their resources to meet students' needs by collaborating with other campus resources. Long-standing transfer support programs include the TOP, EOPS, DSPS, and Puente programs. Within the last three years, the Veterans Resource Center, Student Equity Center, CLEEO program and UMOJA program were instituted to meet the needs of the specific population by aiding them in meeting their educational goals, including transfer.</w:t>
      </w:r>
    </w:p>
    <w:p w14:paraId="2AA82814" w14:textId="77777777" w:rsidR="00437EAE" w:rsidRPr="008C0C24" w:rsidRDefault="00437EAE" w:rsidP="007019F4">
      <w:pPr>
        <w:autoSpaceDE w:val="0"/>
        <w:autoSpaceDN w:val="0"/>
        <w:adjustRightInd w:val="0"/>
        <w:spacing w:line="240" w:lineRule="auto"/>
      </w:pPr>
    </w:p>
    <w:p w14:paraId="54A9C167" w14:textId="77777777" w:rsidR="007019F4" w:rsidRPr="00001192" w:rsidRDefault="007019F4" w:rsidP="007019F4">
      <w:pPr>
        <w:rPr>
          <w:color w:val="000000" w:themeColor="text1"/>
          <w:u w:val="single"/>
        </w:rPr>
      </w:pPr>
      <w:r w:rsidRPr="00001192">
        <w:rPr>
          <w:color w:val="000000" w:themeColor="text1"/>
          <w:u w:val="single"/>
        </w:rPr>
        <w:t>Access to Success - Pathways</w:t>
      </w:r>
    </w:p>
    <w:p w14:paraId="0F6D80B6" w14:textId="5F91BC4F" w:rsidR="007019F4" w:rsidRDefault="00437EAE" w:rsidP="007019F4">
      <w:pPr>
        <w:rPr>
          <w:color w:val="000000" w:themeColor="text1"/>
        </w:rPr>
      </w:pPr>
      <w:r>
        <w:rPr>
          <w:color w:val="000000" w:themeColor="text1"/>
        </w:rPr>
        <w:t>The C</w:t>
      </w:r>
      <w:r w:rsidR="007019F4">
        <w:rPr>
          <w:color w:val="000000" w:themeColor="text1"/>
        </w:rPr>
        <w:t xml:space="preserve">ollege has a focused effort on guided pathways supported by the integrated SSSP/Equity/BSI plan and Guided Pathways grant. Curricular and intersegment pathways from K-12 to OCC to four-year institutions or employment play an integral role in the college’s success. </w:t>
      </w:r>
      <w:r>
        <w:rPr>
          <w:color w:val="000000" w:themeColor="text1"/>
        </w:rPr>
        <w:t>OCC</w:t>
      </w:r>
      <w:r w:rsidR="007019F4" w:rsidRPr="00001192">
        <w:rPr>
          <w:color w:val="000000" w:themeColor="text1"/>
        </w:rPr>
        <w:t xml:space="preserve"> is one of the top transfer </w:t>
      </w:r>
      <w:r w:rsidR="007019F4">
        <w:rPr>
          <w:color w:val="000000" w:themeColor="text1"/>
        </w:rPr>
        <w:t>community colleges</w:t>
      </w:r>
      <w:r w:rsidR="007019F4" w:rsidRPr="00001192">
        <w:rPr>
          <w:color w:val="000000" w:themeColor="text1"/>
        </w:rPr>
        <w:t xml:space="preserve"> to</w:t>
      </w:r>
      <w:r w:rsidR="007019F4">
        <w:rPr>
          <w:color w:val="000000" w:themeColor="text1"/>
        </w:rPr>
        <w:t xml:space="preserve"> the</w:t>
      </w:r>
      <w:r w:rsidR="007019F4" w:rsidRPr="00001192">
        <w:rPr>
          <w:color w:val="000000" w:themeColor="text1"/>
        </w:rPr>
        <w:t xml:space="preserve"> CSU and UC systems as well as a top institution for awarding associate degrees in the State of California. The total number of AA/AS/ADT degrees awarded increased by </w:t>
      </w:r>
      <w:r w:rsidR="007019F4">
        <w:rPr>
          <w:color w:val="000000" w:themeColor="text1"/>
        </w:rPr>
        <w:t>481</w:t>
      </w:r>
      <w:r w:rsidR="007019F4" w:rsidRPr="00001192">
        <w:rPr>
          <w:color w:val="000000" w:themeColor="text1"/>
        </w:rPr>
        <w:t xml:space="preserve"> over the last five years (a </w:t>
      </w:r>
      <w:r w:rsidR="007019F4">
        <w:rPr>
          <w:color w:val="000000" w:themeColor="text1"/>
        </w:rPr>
        <w:t>30%</w:t>
      </w:r>
      <w:r w:rsidR="007019F4" w:rsidRPr="00001192">
        <w:rPr>
          <w:color w:val="000000" w:themeColor="text1"/>
        </w:rPr>
        <w:t xml:space="preserve"> increase) and reached </w:t>
      </w:r>
      <w:r w:rsidR="007019F4">
        <w:rPr>
          <w:color w:val="000000" w:themeColor="text1"/>
        </w:rPr>
        <w:t>2,070</w:t>
      </w:r>
      <w:r w:rsidR="007019F4" w:rsidRPr="00001192">
        <w:rPr>
          <w:color w:val="000000" w:themeColor="text1"/>
        </w:rPr>
        <w:t xml:space="preserve"> in 201</w:t>
      </w:r>
      <w:r w:rsidR="007019F4">
        <w:rPr>
          <w:color w:val="000000" w:themeColor="text1"/>
        </w:rPr>
        <w:t>6</w:t>
      </w:r>
      <w:r w:rsidR="007019F4" w:rsidRPr="00001192">
        <w:rPr>
          <w:color w:val="000000" w:themeColor="text1"/>
        </w:rPr>
        <w:t>-1</w:t>
      </w:r>
      <w:r w:rsidR="007019F4">
        <w:rPr>
          <w:color w:val="000000" w:themeColor="text1"/>
        </w:rPr>
        <w:t>7</w:t>
      </w:r>
      <w:r w:rsidR="007019F4" w:rsidRPr="00001192">
        <w:rPr>
          <w:color w:val="000000" w:themeColor="text1"/>
        </w:rPr>
        <w:t>.</w:t>
      </w:r>
      <w:r>
        <w:rPr>
          <w:color w:val="000000" w:themeColor="text1"/>
        </w:rPr>
        <w:t xml:space="preserve"> The C</w:t>
      </w:r>
      <w:r w:rsidR="007019F4" w:rsidRPr="00001192">
        <w:rPr>
          <w:color w:val="000000" w:themeColor="text1"/>
        </w:rPr>
        <w:t xml:space="preserve">ollege was recognized by state legislators as one of the top CSU Associate Degree for Transfer institutions in 2016.  As of </w:t>
      </w:r>
      <w:r w:rsidR="007019F4">
        <w:rPr>
          <w:color w:val="000000" w:themeColor="text1"/>
        </w:rPr>
        <w:t>2016-17</w:t>
      </w:r>
      <w:r w:rsidR="007019F4" w:rsidRPr="00001192">
        <w:rPr>
          <w:color w:val="000000" w:themeColor="text1"/>
        </w:rPr>
        <w:t xml:space="preserve">, </w:t>
      </w:r>
      <w:r>
        <w:rPr>
          <w:color w:val="000000" w:themeColor="text1"/>
        </w:rPr>
        <w:t>OCC</w:t>
      </w:r>
      <w:r w:rsidR="007019F4" w:rsidRPr="00001192">
        <w:rPr>
          <w:color w:val="000000" w:themeColor="text1"/>
        </w:rPr>
        <w:t xml:space="preserve"> ranked </w:t>
      </w:r>
      <w:r w:rsidR="007019F4">
        <w:rPr>
          <w:color w:val="000000" w:themeColor="text1"/>
        </w:rPr>
        <w:t>3rd</w:t>
      </w:r>
      <w:r w:rsidR="007019F4" w:rsidRPr="00001192">
        <w:rPr>
          <w:color w:val="000000" w:themeColor="text1"/>
        </w:rPr>
        <w:t xml:space="preserve"> in the State in the number of ADTs awarded with </w:t>
      </w:r>
      <w:r w:rsidR="007019F4">
        <w:rPr>
          <w:color w:val="000000" w:themeColor="text1"/>
        </w:rPr>
        <w:t>898</w:t>
      </w:r>
      <w:r w:rsidR="007019F4" w:rsidRPr="00001192">
        <w:rPr>
          <w:color w:val="000000" w:themeColor="text1"/>
        </w:rPr>
        <w:t xml:space="preserve"> ADTs (</w:t>
      </w:r>
      <w:r w:rsidR="007019F4">
        <w:rPr>
          <w:color w:val="000000" w:themeColor="text1"/>
        </w:rPr>
        <w:t>393</w:t>
      </w:r>
      <w:r w:rsidR="007019F4" w:rsidRPr="00001192">
        <w:rPr>
          <w:color w:val="000000" w:themeColor="text1"/>
        </w:rPr>
        <w:t xml:space="preserve"> AS-T, </w:t>
      </w:r>
      <w:r w:rsidR="007019F4">
        <w:rPr>
          <w:color w:val="000000" w:themeColor="text1"/>
        </w:rPr>
        <w:t>505</w:t>
      </w:r>
      <w:r w:rsidR="007019F4" w:rsidRPr="00001192">
        <w:rPr>
          <w:color w:val="000000" w:themeColor="text1"/>
        </w:rPr>
        <w:t xml:space="preserve"> AA-T). As of fall 2016, OCC has approval for twenty-four CSU associate degrees for transfer (ADT’s), ranging from Anthropology </w:t>
      </w:r>
      <w:r w:rsidR="007019F4">
        <w:rPr>
          <w:color w:val="000000" w:themeColor="text1"/>
        </w:rPr>
        <w:t>to Kinesiology to Theater Arts.</w:t>
      </w:r>
    </w:p>
    <w:p w14:paraId="6371214E" w14:textId="77777777" w:rsidR="00437EAE" w:rsidRPr="00001192" w:rsidRDefault="00437EAE" w:rsidP="007019F4">
      <w:pPr>
        <w:rPr>
          <w:color w:val="000000" w:themeColor="text1"/>
        </w:rPr>
      </w:pPr>
    </w:p>
    <w:p w14:paraId="76EF75FE" w14:textId="108190EA" w:rsidR="007019F4" w:rsidRPr="00001192" w:rsidRDefault="007019F4" w:rsidP="007019F4">
      <w:pPr>
        <w:rPr>
          <w:color w:val="000000" w:themeColor="text1"/>
        </w:rPr>
      </w:pPr>
      <w:r w:rsidRPr="00001192">
        <w:rPr>
          <w:color w:val="000000" w:themeColor="text1"/>
        </w:rPr>
        <w:t xml:space="preserve">OCC has developed many agreements to facilitate and support its </w:t>
      </w:r>
      <w:r w:rsidR="00437EAE">
        <w:rPr>
          <w:color w:val="000000" w:themeColor="text1"/>
        </w:rPr>
        <w:t>students in transfer. The College</w:t>
      </w:r>
      <w:r w:rsidRPr="00001192">
        <w:rPr>
          <w:color w:val="000000" w:themeColor="text1"/>
        </w:rPr>
        <w:t xml:space="preserve"> has developed articulation agreements with all CSU and UC campuses, as well as GE articulation agreements with 23 private universities and four-year colleges. OCC successfully transfers students to UC Irvine, UC San Diego, UC Santa Barbara, and UC Davis through the transfer admission guarantee program (TAG). UC Irvine and OCC continue with the Standardized Major Articulation </w:t>
      </w:r>
      <w:r w:rsidRPr="00001192">
        <w:rPr>
          <w:color w:val="000000" w:themeColor="text1"/>
        </w:rPr>
        <w:lastRenderedPageBreak/>
        <w:t>Requirements to Transfer into Information and Computer Sciences (SMART-ICS) Program, an articulation program that prepares students to transfer from OCC to the UC Irvine ICS Department.  Other transfer pathways include:</w:t>
      </w:r>
    </w:p>
    <w:p w14:paraId="5B8E9419" w14:textId="77777777" w:rsidR="007019F4" w:rsidRPr="00001192" w:rsidRDefault="007019F4" w:rsidP="007019F4">
      <w:pPr>
        <w:pStyle w:val="ListParagraph"/>
        <w:numPr>
          <w:ilvl w:val="0"/>
          <w:numId w:val="27"/>
        </w:numPr>
        <w:rPr>
          <w:color w:val="000000" w:themeColor="text1"/>
          <w:sz w:val="22"/>
        </w:rPr>
      </w:pPr>
      <w:r w:rsidRPr="00001192">
        <w:rPr>
          <w:color w:val="000000" w:themeColor="text1"/>
          <w:sz w:val="22"/>
        </w:rPr>
        <w:t xml:space="preserve">the Garrison Honors Center, which gives students priority consideration for admission to several UC campuses; </w:t>
      </w:r>
    </w:p>
    <w:p w14:paraId="07D4629F" w14:textId="77777777" w:rsidR="007019F4" w:rsidRPr="00001192" w:rsidRDefault="007019F4" w:rsidP="007019F4">
      <w:pPr>
        <w:pStyle w:val="ListParagraph"/>
        <w:numPr>
          <w:ilvl w:val="0"/>
          <w:numId w:val="27"/>
        </w:numPr>
        <w:rPr>
          <w:color w:val="000000" w:themeColor="text1"/>
          <w:sz w:val="22"/>
        </w:rPr>
      </w:pPr>
      <w:r w:rsidRPr="00001192">
        <w:rPr>
          <w:color w:val="000000" w:themeColor="text1"/>
          <w:sz w:val="22"/>
        </w:rPr>
        <w:t xml:space="preserve">the Transfer Success Program (TSP), which reaches out to all University of California applicants annually (approximately 800) to provide counseling support, workshops, campus tours, and a variety of other supportive services; and </w:t>
      </w:r>
    </w:p>
    <w:p w14:paraId="79D81193" w14:textId="77777777" w:rsidR="007019F4" w:rsidRPr="00001192" w:rsidRDefault="007019F4" w:rsidP="007019F4">
      <w:pPr>
        <w:pStyle w:val="ListParagraph"/>
        <w:numPr>
          <w:ilvl w:val="0"/>
          <w:numId w:val="27"/>
        </w:numPr>
        <w:rPr>
          <w:color w:val="000000" w:themeColor="text1"/>
          <w:sz w:val="22"/>
        </w:rPr>
      </w:pPr>
      <w:r w:rsidRPr="00001192">
        <w:rPr>
          <w:color w:val="000000" w:themeColor="text1"/>
          <w:sz w:val="22"/>
        </w:rPr>
        <w:t xml:space="preserve">the Transfer Opportunity Program (TOPs), which provides transfer support for students (approximately 300) in historically underrepresented groups who are first generation college students. </w:t>
      </w:r>
    </w:p>
    <w:p w14:paraId="71272DDC" w14:textId="22FE53BB" w:rsidR="007019F4" w:rsidRDefault="007019F4" w:rsidP="007019F4">
      <w:pPr>
        <w:rPr>
          <w:color w:val="000000" w:themeColor="text1"/>
        </w:rPr>
      </w:pPr>
      <w:r w:rsidRPr="00001192">
        <w:rPr>
          <w:color w:val="000000" w:themeColor="text1"/>
        </w:rPr>
        <w:t>In addition to a focus on transfer pathways, the College is focusing on accelerated remediation in basic skills to reduce the amount of time needed to become college ready, vocational education completion and increased success in transfer and degree courses leading to increased completion. This includes a number of pilots pairing traditional courses with supplemental instruction or alternative methodologies to ensure success on the first course taking attempt as well as changed in curriculum to pair two basic skills levels into one level.</w:t>
      </w:r>
      <w:r>
        <w:rPr>
          <w:color w:val="000000" w:themeColor="text1"/>
        </w:rPr>
        <w:t xml:space="preserve"> Other areas of focus include developing adult non-credit courses, increased offerings in high demand and STEM courses, and innovative high wage gain CTE programs. To support these efforts, the college has increased focused counseling resources and the variety of communications with students aimed at persisten</w:t>
      </w:r>
      <w:r w:rsidR="00437EAE">
        <w:rPr>
          <w:color w:val="000000" w:themeColor="text1"/>
        </w:rPr>
        <w:t>ce and completion.</w:t>
      </w:r>
    </w:p>
    <w:p w14:paraId="11DEE43C" w14:textId="77777777" w:rsidR="00437EAE" w:rsidRPr="00001192" w:rsidRDefault="00437EAE" w:rsidP="007019F4">
      <w:pPr>
        <w:rPr>
          <w:color w:val="000000" w:themeColor="text1"/>
        </w:rPr>
      </w:pPr>
    </w:p>
    <w:p w14:paraId="07173BB3" w14:textId="77777777" w:rsidR="007019F4" w:rsidRPr="00F665B2" w:rsidRDefault="007019F4" w:rsidP="007019F4">
      <w:pPr>
        <w:rPr>
          <w:color w:val="000000" w:themeColor="text1"/>
          <w:u w:val="single"/>
        </w:rPr>
      </w:pPr>
      <w:r w:rsidRPr="00F665B2">
        <w:rPr>
          <w:color w:val="000000" w:themeColor="text1"/>
          <w:u w:val="single"/>
        </w:rPr>
        <w:t>Holistic Framework for Student Development</w:t>
      </w:r>
    </w:p>
    <w:p w14:paraId="2159EF5C" w14:textId="59989FFE" w:rsidR="007019F4" w:rsidRDefault="00437EAE" w:rsidP="007019F4">
      <w:pPr>
        <w:autoSpaceDE w:val="0"/>
        <w:autoSpaceDN w:val="0"/>
        <w:adjustRightInd w:val="0"/>
        <w:spacing w:line="240" w:lineRule="auto"/>
      </w:pPr>
      <w:r>
        <w:t>Two of the C</w:t>
      </w:r>
      <w:r w:rsidR="007019F4" w:rsidRPr="00F665B2">
        <w:t xml:space="preserve">ollege’s strategic priorities highly rely on alterative and innovative technology to more effectively communicate with our students, including predictive analytics and just-in-time </w:t>
      </w:r>
      <w:r w:rsidR="007019F4">
        <w:t>in</w:t>
      </w:r>
      <w:r w:rsidR="004C6DDF">
        <w:t>t</w:t>
      </w:r>
      <w:r w:rsidR="007019F4">
        <w:t>er</w:t>
      </w:r>
      <w:r w:rsidR="004C6DDF">
        <w:t>ve</w:t>
      </w:r>
      <w:r w:rsidR="007019F4">
        <w:t>ntions</w:t>
      </w:r>
      <w:r w:rsidR="007019F4" w:rsidRPr="00F665B2">
        <w:t xml:space="preserve">. OCC communicates with students according to a just-in-time philosophy to ensure they receive the appropriate level of communication at critical junctures to ensure their success. Every course has a Canvas, </w:t>
      </w:r>
      <w:r w:rsidR="007019F4" w:rsidRPr="00F665B2">
        <w:lastRenderedPageBreak/>
        <w:t>online shell and critical services are provided through MyOCC, a student intranet portal. We also personalize communication with students using apps informed by early alert, predictive analytics, or specialized data.</w:t>
      </w:r>
    </w:p>
    <w:p w14:paraId="4F3EAB3D" w14:textId="77777777" w:rsidR="00437EAE" w:rsidRPr="00F665B2" w:rsidRDefault="00437EAE" w:rsidP="007019F4">
      <w:pPr>
        <w:autoSpaceDE w:val="0"/>
        <w:autoSpaceDN w:val="0"/>
        <w:adjustRightInd w:val="0"/>
        <w:spacing w:line="240" w:lineRule="auto"/>
      </w:pPr>
    </w:p>
    <w:p w14:paraId="12407225" w14:textId="32D54213" w:rsidR="007019F4" w:rsidRDefault="007019F4" w:rsidP="007019F4">
      <w:pPr>
        <w:rPr>
          <w:color w:val="000000" w:themeColor="text1"/>
        </w:rPr>
      </w:pPr>
      <w:r w:rsidRPr="00001192">
        <w:rPr>
          <w:color w:val="000000" w:themeColor="text1"/>
        </w:rPr>
        <w:t xml:space="preserve">By developing “just-in-time” interventions, OCC is working to provide individual needs-based support to students. The College has developed individual and personalized holistic learning environments characterized by an integrated e-Student Educational Plan, Degree Audit, and Integrated Student Need Course Scheduling System to facilitate students’ educational goal choice, scheduling to student needs, and pathways to completion. The goal is to realize increases in persistence, completed student education plans, and degree/certificate completion. </w:t>
      </w:r>
      <w:r w:rsidR="00437EAE">
        <w:rPr>
          <w:color w:val="000000" w:themeColor="text1"/>
        </w:rPr>
        <w:t>Data</w:t>
      </w:r>
      <w:r w:rsidRPr="00001192">
        <w:rPr>
          <w:color w:val="000000" w:themeColor="text1"/>
        </w:rPr>
        <w:t xml:space="preserve"> show that fall to spring persistence rates for first-time, full-time OCC students increased </w:t>
      </w:r>
      <w:r>
        <w:rPr>
          <w:color w:val="000000" w:themeColor="text1"/>
        </w:rPr>
        <w:t>14%</w:t>
      </w:r>
      <w:r w:rsidRPr="00001192">
        <w:rPr>
          <w:color w:val="000000" w:themeColor="text1"/>
        </w:rPr>
        <w:t xml:space="preserve"> over a five-year period from </w:t>
      </w:r>
      <w:r>
        <w:rPr>
          <w:color w:val="000000" w:themeColor="text1"/>
        </w:rPr>
        <w:t>2012-13 (82%) to 2016-17 (96%)</w:t>
      </w:r>
      <w:r w:rsidRPr="00001192">
        <w:rPr>
          <w:color w:val="000000" w:themeColor="text1"/>
        </w:rPr>
        <w:t xml:space="preserve">. These trends will continue to be monitored to reveal the impact of such interventions in future years.   </w:t>
      </w:r>
    </w:p>
    <w:p w14:paraId="3A548F85" w14:textId="77777777" w:rsidR="00437EAE" w:rsidRPr="005568E7" w:rsidRDefault="00437EAE" w:rsidP="007019F4">
      <w:pPr>
        <w:rPr>
          <w:color w:val="000000" w:themeColor="text1"/>
        </w:rPr>
      </w:pPr>
    </w:p>
    <w:p w14:paraId="4D67A120" w14:textId="77777777" w:rsidR="007019F4" w:rsidRPr="00001192" w:rsidRDefault="007019F4" w:rsidP="007019F4">
      <w:pPr>
        <w:rPr>
          <w:color w:val="000000" w:themeColor="text1"/>
          <w:u w:val="single"/>
        </w:rPr>
      </w:pPr>
      <w:r w:rsidRPr="00001192">
        <w:rPr>
          <w:color w:val="000000" w:themeColor="text1"/>
          <w:u w:val="single"/>
        </w:rPr>
        <w:t>Infrastructure to Support Services and Learning</w:t>
      </w:r>
    </w:p>
    <w:p w14:paraId="1B9D1E7F" w14:textId="77777777" w:rsidR="007019F4" w:rsidRPr="00B9364B" w:rsidRDefault="007019F4" w:rsidP="007019F4">
      <w:pPr>
        <w:rPr>
          <w:color w:val="FF0000"/>
        </w:rPr>
      </w:pPr>
      <w:r w:rsidRPr="00001192">
        <w:rPr>
          <w:color w:val="000000" w:themeColor="text1"/>
        </w:rPr>
        <w:t>The Student Success Center offers a variety of programs to enhance student learning outside the classroom and increase the variety of instructional methodologies. Approximately 2,</w:t>
      </w:r>
      <w:r>
        <w:rPr>
          <w:color w:val="000000" w:themeColor="text1"/>
        </w:rPr>
        <w:t>6</w:t>
      </w:r>
      <w:r w:rsidRPr="00001192">
        <w:rPr>
          <w:color w:val="000000" w:themeColor="text1"/>
        </w:rPr>
        <w:t>00 students visit the Center each semester for free tutoring in a variety of subject areas, including writing, math, history, economics, and basic skills. The center also offers directed learning activities, student study groups and workshops designed to address the most common educational obstacles experienced by college students. These services have been shown to increase student success in basic skills, degree applicable, and transfer courses.</w:t>
      </w:r>
      <w:r w:rsidRPr="00384153">
        <w:rPr>
          <w:color w:val="000000" w:themeColor="text1"/>
        </w:rPr>
        <w:t xml:space="preserve"> </w:t>
      </w:r>
    </w:p>
    <w:p w14:paraId="040316E2" w14:textId="17EDC31F" w:rsidR="00FE1670" w:rsidRDefault="00FE1670">
      <w:pPr>
        <w:rPr>
          <w:rStyle w:val="Heading1Char"/>
          <w:rFonts w:eastAsia="Calibri"/>
          <w:color w:val="FF0000"/>
        </w:rPr>
      </w:pPr>
      <w:bookmarkStart w:id="59" w:name="_Toc341183233"/>
    </w:p>
    <w:p w14:paraId="17632DDE" w14:textId="331971B0" w:rsidR="0004126D" w:rsidRDefault="0004126D" w:rsidP="00C1068E">
      <w:pPr>
        <w:rPr>
          <w:rStyle w:val="Heading1Char"/>
          <w:rFonts w:eastAsia="Calibri"/>
          <w:color w:val="auto"/>
          <w:sz w:val="22"/>
          <w:szCs w:val="22"/>
        </w:rPr>
      </w:pPr>
      <w:bookmarkStart w:id="60" w:name="_Toc474236123"/>
      <w:bookmarkStart w:id="61" w:name="_Toc506217411"/>
      <w:r w:rsidRPr="00C1068E">
        <w:rPr>
          <w:rStyle w:val="Heading1Char"/>
          <w:rFonts w:eastAsia="Calibri"/>
          <w:color w:val="auto"/>
          <w:sz w:val="22"/>
          <w:szCs w:val="22"/>
        </w:rPr>
        <w:t>District-wide</w:t>
      </w:r>
      <w:bookmarkEnd w:id="60"/>
      <w:bookmarkEnd w:id="61"/>
    </w:p>
    <w:p w14:paraId="3DFA7A55" w14:textId="77777777" w:rsidR="008F63EB" w:rsidRDefault="008F63EB" w:rsidP="008F63EB">
      <w:pPr>
        <w:pStyle w:val="NormalWeb"/>
        <w:spacing w:before="0" w:beforeAutospacing="0" w:after="0" w:afterAutospacing="0" w:line="240" w:lineRule="auto"/>
        <w:rPr>
          <w:sz w:val="22"/>
          <w:szCs w:val="22"/>
        </w:rPr>
      </w:pPr>
    </w:p>
    <w:p w14:paraId="65E41875" w14:textId="56EB607F" w:rsidR="001D66B6" w:rsidRPr="001D66B6" w:rsidRDefault="001D66B6" w:rsidP="001D66B6">
      <w:r>
        <w:lastRenderedPageBreak/>
        <w:t>In 2016-17 there were 31</w:t>
      </w:r>
      <w:r w:rsidRPr="00925F20">
        <w:t xml:space="preserve"> active grants within the district with a total value of </w:t>
      </w:r>
      <w:r>
        <w:t xml:space="preserve">over </w:t>
      </w:r>
      <w:r w:rsidRPr="00925F20">
        <w:t>$1</w:t>
      </w:r>
      <w:r>
        <w:t>9</w:t>
      </w:r>
      <w:r w:rsidRPr="00925F20">
        <w:t xml:space="preserve"> million</w:t>
      </w:r>
      <w:r>
        <w:t xml:space="preserve"> to expand and enhance instructional programs and support services for our students</w:t>
      </w:r>
      <w:r w:rsidRPr="00925F20">
        <w:t xml:space="preserve">. </w:t>
      </w:r>
      <w:r>
        <w:t xml:space="preserve">These </w:t>
      </w:r>
      <w:r w:rsidR="00FF3896">
        <w:t>grants were</w:t>
      </w:r>
      <w:r w:rsidRPr="00925F20">
        <w:t xml:space="preserve"> in addition to categorical funds received through programs such as the Student Success and Support Program, Student Equity Initiative, Basic Skills Program and others. The District Educational Services and Technology provides leadership and/or assistance to the colleges for identifying and applying for new grants and for administering grants once awarded. </w:t>
      </w:r>
      <w:r w:rsidRPr="00925F20">
        <w:rPr>
          <w:rFonts w:cs="Arial"/>
        </w:rPr>
        <w:t>Townsend Public Affairs</w:t>
      </w:r>
      <w:r w:rsidRPr="00925F20">
        <w:t xml:space="preserve"> is assisting the District and the Colleges with information on grant opportunities as well.</w:t>
      </w:r>
    </w:p>
    <w:p w14:paraId="511A1718" w14:textId="77777777" w:rsidR="001D66B6" w:rsidRDefault="001D66B6" w:rsidP="008F63EB">
      <w:pPr>
        <w:pStyle w:val="NormalWeb"/>
        <w:spacing w:before="0" w:beforeAutospacing="0" w:after="0" w:afterAutospacing="0" w:line="240" w:lineRule="auto"/>
        <w:rPr>
          <w:sz w:val="22"/>
          <w:szCs w:val="22"/>
        </w:rPr>
      </w:pPr>
    </w:p>
    <w:p w14:paraId="0F962AC1" w14:textId="08252899" w:rsidR="008F63EB" w:rsidRPr="00726774" w:rsidRDefault="008F63EB" w:rsidP="008F63EB">
      <w:pPr>
        <w:pStyle w:val="NormalWeb"/>
        <w:spacing w:before="0" w:beforeAutospacing="0" w:after="0" w:afterAutospacing="0" w:line="240" w:lineRule="auto"/>
        <w:rPr>
          <w:sz w:val="22"/>
          <w:szCs w:val="22"/>
        </w:rPr>
      </w:pPr>
      <w:r>
        <w:rPr>
          <w:sz w:val="22"/>
          <w:szCs w:val="22"/>
        </w:rPr>
        <w:t>Starting in 2015-16</w:t>
      </w:r>
      <w:r w:rsidR="009F4657">
        <w:rPr>
          <w:sz w:val="22"/>
          <w:szCs w:val="22"/>
        </w:rPr>
        <w:t xml:space="preserve">, all three colleges embarked on </w:t>
      </w:r>
      <w:r w:rsidRPr="00726774">
        <w:rPr>
          <w:sz w:val="22"/>
          <w:szCs w:val="22"/>
        </w:rPr>
        <w:t>implement</w:t>
      </w:r>
      <w:r w:rsidR="009F4657">
        <w:rPr>
          <w:sz w:val="22"/>
          <w:szCs w:val="22"/>
        </w:rPr>
        <w:t>ing</w:t>
      </w:r>
      <w:r w:rsidRPr="00726774">
        <w:rPr>
          <w:sz w:val="22"/>
          <w:szCs w:val="22"/>
        </w:rPr>
        <w:t xml:space="preserve"> Canvas as the district-wide learning management system</w:t>
      </w:r>
      <w:r>
        <w:rPr>
          <w:sz w:val="22"/>
          <w:szCs w:val="22"/>
        </w:rPr>
        <w:t>.</w:t>
      </w:r>
      <w:r w:rsidRPr="00726774">
        <w:rPr>
          <w:sz w:val="22"/>
          <w:szCs w:val="22"/>
        </w:rPr>
        <w:t xml:space="preserve"> </w:t>
      </w:r>
      <w:r>
        <w:rPr>
          <w:sz w:val="22"/>
          <w:szCs w:val="22"/>
        </w:rPr>
        <w:t>B</w:t>
      </w:r>
      <w:r w:rsidRPr="00726774">
        <w:rPr>
          <w:sz w:val="22"/>
          <w:szCs w:val="22"/>
        </w:rPr>
        <w:t xml:space="preserve">y June 2017 all three colleges </w:t>
      </w:r>
      <w:r w:rsidR="009F4657">
        <w:rPr>
          <w:sz w:val="22"/>
          <w:szCs w:val="22"/>
        </w:rPr>
        <w:t>implemented and</w:t>
      </w:r>
      <w:r w:rsidRPr="00726774">
        <w:rPr>
          <w:sz w:val="22"/>
          <w:szCs w:val="22"/>
        </w:rPr>
        <w:t xml:space="preserve"> us</w:t>
      </w:r>
      <w:r w:rsidR="009F4657">
        <w:rPr>
          <w:sz w:val="22"/>
          <w:szCs w:val="22"/>
        </w:rPr>
        <w:t>ed</w:t>
      </w:r>
      <w:r w:rsidRPr="00726774">
        <w:rPr>
          <w:sz w:val="22"/>
          <w:szCs w:val="22"/>
        </w:rPr>
        <w:t xml:space="preserve"> Canvas</w:t>
      </w:r>
      <w:r>
        <w:rPr>
          <w:sz w:val="22"/>
          <w:szCs w:val="22"/>
        </w:rPr>
        <w:t xml:space="preserve">, which </w:t>
      </w:r>
      <w:r w:rsidR="009F4657">
        <w:rPr>
          <w:sz w:val="22"/>
          <w:szCs w:val="22"/>
        </w:rPr>
        <w:t>is</w:t>
      </w:r>
      <w:r>
        <w:rPr>
          <w:sz w:val="22"/>
          <w:szCs w:val="22"/>
        </w:rPr>
        <w:t xml:space="preserve"> the first time when students and faculty in our district </w:t>
      </w:r>
      <w:r w:rsidR="009F4657">
        <w:rPr>
          <w:sz w:val="22"/>
          <w:szCs w:val="22"/>
        </w:rPr>
        <w:t>are</w:t>
      </w:r>
      <w:r>
        <w:rPr>
          <w:sz w:val="22"/>
          <w:szCs w:val="22"/>
        </w:rPr>
        <w:t xml:space="preserve"> experience a common learning management platform for both online and face-to-face classes</w:t>
      </w:r>
    </w:p>
    <w:p w14:paraId="5587780E" w14:textId="77777777" w:rsidR="008F63EB" w:rsidRDefault="008F63EB" w:rsidP="008F63EB">
      <w:pPr>
        <w:pStyle w:val="NormalWeb"/>
        <w:spacing w:before="0" w:beforeAutospacing="0" w:after="0" w:afterAutospacing="0" w:line="240" w:lineRule="auto"/>
        <w:rPr>
          <w:sz w:val="22"/>
          <w:szCs w:val="22"/>
        </w:rPr>
      </w:pPr>
    </w:p>
    <w:p w14:paraId="5CB1B0B7" w14:textId="083F762A" w:rsidR="008F63EB" w:rsidRDefault="008F63EB" w:rsidP="008F63EB">
      <w:pPr>
        <w:pStyle w:val="NormalWeb"/>
        <w:spacing w:before="0" w:beforeAutospacing="0" w:after="0" w:afterAutospacing="0" w:line="240" w:lineRule="auto"/>
        <w:rPr>
          <w:sz w:val="22"/>
          <w:szCs w:val="22"/>
        </w:rPr>
      </w:pPr>
      <w:r>
        <w:rPr>
          <w:sz w:val="22"/>
          <w:szCs w:val="22"/>
        </w:rPr>
        <w:t xml:space="preserve">Since spring 2015, we have worked on a completely redesigned student portal which will be deployed in </w:t>
      </w:r>
      <w:r w:rsidR="009F4657">
        <w:rPr>
          <w:sz w:val="22"/>
          <w:szCs w:val="22"/>
        </w:rPr>
        <w:t>spring 2018</w:t>
      </w:r>
      <w:r>
        <w:rPr>
          <w:sz w:val="22"/>
          <w:szCs w:val="22"/>
        </w:rPr>
        <w:t>. This new student portal will ensure that the student experience from the application for admission through graduation or transfer will be greatly enhanced.</w:t>
      </w:r>
    </w:p>
    <w:p w14:paraId="31CE54A2" w14:textId="77777777" w:rsidR="008F63EB" w:rsidRDefault="008F63EB" w:rsidP="008F63EB">
      <w:pPr>
        <w:pStyle w:val="NormalWeb"/>
        <w:spacing w:before="0" w:beforeAutospacing="0" w:after="0" w:afterAutospacing="0" w:line="240" w:lineRule="auto"/>
        <w:rPr>
          <w:sz w:val="22"/>
          <w:szCs w:val="22"/>
        </w:rPr>
      </w:pPr>
    </w:p>
    <w:p w14:paraId="27D54F6C" w14:textId="631227B0" w:rsidR="008F63EB" w:rsidRDefault="008F63EB" w:rsidP="008F63EB">
      <w:pPr>
        <w:pStyle w:val="NormalWeb"/>
        <w:spacing w:before="0" w:beforeAutospacing="0" w:after="0" w:afterAutospacing="0" w:line="240" w:lineRule="auto"/>
        <w:rPr>
          <w:sz w:val="22"/>
          <w:szCs w:val="22"/>
        </w:rPr>
      </w:pPr>
      <w:r>
        <w:rPr>
          <w:sz w:val="22"/>
          <w:szCs w:val="22"/>
        </w:rPr>
        <w:t xml:space="preserve">The first </w:t>
      </w:r>
      <w:r w:rsidRPr="00726774">
        <w:rPr>
          <w:sz w:val="22"/>
          <w:szCs w:val="22"/>
        </w:rPr>
        <w:t>District-wide Strategic Technology Plan 2016-19</w:t>
      </w:r>
      <w:r>
        <w:rPr>
          <w:sz w:val="22"/>
          <w:szCs w:val="22"/>
        </w:rPr>
        <w:t xml:space="preserve"> was approved by the Board in December 14, 2016. </w:t>
      </w:r>
      <w:r w:rsidR="009F4657">
        <w:rPr>
          <w:sz w:val="22"/>
          <w:szCs w:val="22"/>
        </w:rPr>
        <w:t>T</w:t>
      </w:r>
      <w:r w:rsidRPr="00726774">
        <w:rPr>
          <w:sz w:val="22"/>
          <w:szCs w:val="22"/>
        </w:rPr>
        <w:t xml:space="preserve">he implementation of the </w:t>
      </w:r>
      <w:r>
        <w:rPr>
          <w:sz w:val="22"/>
          <w:szCs w:val="22"/>
        </w:rPr>
        <w:t>plan</w:t>
      </w:r>
      <w:r w:rsidRPr="00726774">
        <w:rPr>
          <w:sz w:val="22"/>
          <w:szCs w:val="22"/>
        </w:rPr>
        <w:t xml:space="preserve"> </w:t>
      </w:r>
      <w:r>
        <w:rPr>
          <w:sz w:val="22"/>
          <w:szCs w:val="22"/>
        </w:rPr>
        <w:t>whose main focus is on technology application to improve the</w:t>
      </w:r>
      <w:r w:rsidR="009F4657">
        <w:rPr>
          <w:sz w:val="22"/>
          <w:szCs w:val="22"/>
        </w:rPr>
        <w:t xml:space="preserve"> student experience and success is well under way.</w:t>
      </w:r>
    </w:p>
    <w:p w14:paraId="2AA18C65" w14:textId="6300E9BF" w:rsidR="00337FAE" w:rsidRDefault="002F7EF3" w:rsidP="002F7EF3">
      <w:pPr>
        <w:pStyle w:val="NormalWeb"/>
        <w:spacing w:line="240" w:lineRule="auto"/>
        <w:rPr>
          <w:sz w:val="22"/>
          <w:szCs w:val="22"/>
        </w:rPr>
      </w:pPr>
      <w:r>
        <w:rPr>
          <w:sz w:val="22"/>
          <w:szCs w:val="22"/>
        </w:rPr>
        <w:t xml:space="preserve">In 2016-17, the District worked on the implementation of Senate Bill 1359 to identify </w:t>
      </w:r>
      <w:r w:rsidRPr="002F7EF3">
        <w:rPr>
          <w:sz w:val="22"/>
          <w:szCs w:val="22"/>
        </w:rPr>
        <w:t>t</w:t>
      </w:r>
      <w:r>
        <w:rPr>
          <w:sz w:val="22"/>
          <w:szCs w:val="22"/>
        </w:rPr>
        <w:t>he online version of the class</w:t>
      </w:r>
      <w:r w:rsidRPr="002F7EF3">
        <w:rPr>
          <w:sz w:val="22"/>
          <w:szCs w:val="22"/>
        </w:rPr>
        <w:t xml:space="preserve"> schedule </w:t>
      </w:r>
      <w:r>
        <w:rPr>
          <w:sz w:val="22"/>
          <w:szCs w:val="22"/>
        </w:rPr>
        <w:t>those</w:t>
      </w:r>
      <w:r w:rsidRPr="002F7EF3">
        <w:rPr>
          <w:sz w:val="22"/>
          <w:szCs w:val="22"/>
        </w:rPr>
        <w:t xml:space="preserve"> </w:t>
      </w:r>
      <w:r>
        <w:rPr>
          <w:sz w:val="22"/>
          <w:szCs w:val="22"/>
        </w:rPr>
        <w:t>classes</w:t>
      </w:r>
      <w:r w:rsidRPr="002F7EF3">
        <w:rPr>
          <w:sz w:val="22"/>
          <w:szCs w:val="22"/>
        </w:rPr>
        <w:t xml:space="preserve"> that exclusively use digital course materials and communicate to students that the</w:t>
      </w:r>
      <w:r>
        <w:rPr>
          <w:sz w:val="22"/>
          <w:szCs w:val="22"/>
        </w:rPr>
        <w:t xml:space="preserve"> class</w:t>
      </w:r>
      <w:r w:rsidRPr="002F7EF3">
        <w:rPr>
          <w:sz w:val="22"/>
          <w:szCs w:val="22"/>
        </w:rPr>
        <w:t xml:space="preserve"> materials for these</w:t>
      </w:r>
      <w:r>
        <w:rPr>
          <w:sz w:val="22"/>
          <w:szCs w:val="22"/>
        </w:rPr>
        <w:t xml:space="preserve"> </w:t>
      </w:r>
      <w:r w:rsidRPr="002F7EF3">
        <w:rPr>
          <w:sz w:val="22"/>
          <w:szCs w:val="22"/>
        </w:rPr>
        <w:t>courses are free of charge and therefore not required to be purchased</w:t>
      </w:r>
      <w:r>
        <w:rPr>
          <w:sz w:val="22"/>
          <w:szCs w:val="22"/>
        </w:rPr>
        <w:t>. The District implemented these designations on the online class schedules in time for fall 2017, a full six months ahead the required implementation date of January 1, 2018.</w:t>
      </w:r>
    </w:p>
    <w:p w14:paraId="74A94EA0" w14:textId="2BEA9FB2" w:rsidR="008F63EB" w:rsidRDefault="008F63EB" w:rsidP="008F63EB">
      <w:pPr>
        <w:pStyle w:val="NormalWeb"/>
        <w:spacing w:before="0" w:beforeAutospacing="0" w:after="0" w:afterAutospacing="0" w:line="240" w:lineRule="auto"/>
        <w:rPr>
          <w:sz w:val="22"/>
          <w:szCs w:val="22"/>
        </w:rPr>
      </w:pPr>
      <w:r>
        <w:rPr>
          <w:sz w:val="22"/>
          <w:szCs w:val="22"/>
        </w:rPr>
        <w:lastRenderedPageBreak/>
        <w:t>We are continuing the successful county-wide collaboration with all community colleges, K-12 districts, universities, and employers to expand CTE pathways and dual enrollment for high school students.</w:t>
      </w:r>
      <w:r w:rsidR="006F308D">
        <w:rPr>
          <w:sz w:val="22"/>
          <w:szCs w:val="22"/>
        </w:rPr>
        <w:t xml:space="preserve"> Through the Adult Education Block Grant, w</w:t>
      </w:r>
      <w:r>
        <w:rPr>
          <w:sz w:val="22"/>
          <w:szCs w:val="22"/>
        </w:rPr>
        <w:t>e are also continuing the successful collaboration with the adult education schools and various educational provide</w:t>
      </w:r>
      <w:r w:rsidR="006F308D">
        <w:rPr>
          <w:sz w:val="22"/>
          <w:szCs w:val="22"/>
        </w:rPr>
        <w:t xml:space="preserve">rs and non-profit organizations </w:t>
      </w:r>
      <w:r>
        <w:rPr>
          <w:sz w:val="22"/>
          <w:szCs w:val="22"/>
        </w:rPr>
        <w:t>to improve educational and workforce opportunities for adults in the district service area.</w:t>
      </w:r>
    </w:p>
    <w:p w14:paraId="1E3A4F21" w14:textId="77777777" w:rsidR="008F63EB" w:rsidRDefault="008F63EB" w:rsidP="008F63EB">
      <w:pPr>
        <w:pStyle w:val="NormalWeb"/>
        <w:ind w:left="720"/>
        <w:rPr>
          <w:sz w:val="22"/>
          <w:szCs w:val="22"/>
        </w:rPr>
      </w:pPr>
    </w:p>
    <w:p w14:paraId="60CF565C" w14:textId="77777777" w:rsidR="008F63EB" w:rsidRPr="00C1068E" w:rsidRDefault="008F63EB" w:rsidP="00C1068E">
      <w:pPr>
        <w:rPr>
          <w:rStyle w:val="Heading1Char"/>
          <w:rFonts w:eastAsia="Calibri"/>
          <w:color w:val="auto"/>
          <w:sz w:val="22"/>
          <w:szCs w:val="22"/>
        </w:rPr>
      </w:pPr>
    </w:p>
    <w:p w14:paraId="3C90D842" w14:textId="6909967A" w:rsidR="00C1068E" w:rsidRDefault="00C1068E">
      <w:pPr>
        <w:rPr>
          <w:rStyle w:val="Heading1Char"/>
          <w:rFonts w:eastAsia="Calibri"/>
          <w:color w:val="auto"/>
        </w:rPr>
      </w:pPr>
    </w:p>
    <w:p w14:paraId="7F3EC95F" w14:textId="77777777" w:rsidR="00B819E8" w:rsidRDefault="00B819E8">
      <w:pPr>
        <w:rPr>
          <w:rStyle w:val="Heading1Char"/>
          <w:rFonts w:eastAsia="Calibri"/>
          <w:color w:val="auto"/>
        </w:rPr>
      </w:pPr>
      <w:r>
        <w:rPr>
          <w:rStyle w:val="Heading1Char"/>
          <w:rFonts w:eastAsia="Calibri"/>
          <w:color w:val="auto"/>
        </w:rPr>
        <w:br w:type="page"/>
      </w:r>
    </w:p>
    <w:p w14:paraId="0F9D5FB7" w14:textId="722B3936" w:rsidR="00364203" w:rsidRPr="000077A7" w:rsidRDefault="00364203" w:rsidP="005231FA">
      <w:pPr>
        <w:rPr>
          <w:rStyle w:val="Heading1Char"/>
          <w:rFonts w:eastAsia="Calibri"/>
          <w:color w:val="auto"/>
        </w:rPr>
      </w:pPr>
      <w:bookmarkStart w:id="62" w:name="_Toc506217412"/>
      <w:r w:rsidRPr="000077A7">
        <w:rPr>
          <w:rStyle w:val="Heading1Char"/>
          <w:rFonts w:eastAsia="Calibri"/>
          <w:color w:val="auto"/>
        </w:rPr>
        <w:lastRenderedPageBreak/>
        <w:t>CHAPTER II</w:t>
      </w:r>
      <w:r w:rsidR="00A314A7" w:rsidRPr="000077A7">
        <w:rPr>
          <w:rStyle w:val="Heading1Char"/>
          <w:rFonts w:eastAsia="Calibri"/>
          <w:color w:val="auto"/>
        </w:rPr>
        <w:t xml:space="preserve">: </w:t>
      </w:r>
      <w:r w:rsidRPr="000077A7">
        <w:rPr>
          <w:rStyle w:val="Heading1Char"/>
          <w:rFonts w:eastAsia="Calibri"/>
          <w:color w:val="auto"/>
        </w:rPr>
        <w:t>STUDENT OUTREACH AND RESPONSIVENESS</w:t>
      </w:r>
      <w:r w:rsidR="00A314A7" w:rsidRPr="000077A7">
        <w:rPr>
          <w:rStyle w:val="Heading1Char"/>
          <w:rFonts w:eastAsia="Calibri"/>
          <w:color w:val="auto"/>
        </w:rPr>
        <w:t xml:space="preserve"> </w:t>
      </w:r>
      <w:r w:rsidRPr="000077A7">
        <w:rPr>
          <w:rStyle w:val="Heading1Char"/>
          <w:rFonts w:eastAsia="Calibri"/>
          <w:color w:val="auto"/>
        </w:rPr>
        <w:t>TO THE COMMUNITY</w:t>
      </w:r>
      <w:bookmarkEnd w:id="59"/>
      <w:bookmarkEnd w:id="62"/>
    </w:p>
    <w:p w14:paraId="5DEDE1C6" w14:textId="77777777" w:rsidR="005018FE" w:rsidRPr="000077A7" w:rsidRDefault="005018FE" w:rsidP="005018FE">
      <w:pPr>
        <w:autoSpaceDE w:val="0"/>
        <w:autoSpaceDN w:val="0"/>
        <w:adjustRightInd w:val="0"/>
      </w:pPr>
    </w:p>
    <w:p w14:paraId="0F9D5FB9" w14:textId="2CD12AA5" w:rsidR="00364203" w:rsidRPr="000077A7" w:rsidRDefault="00364203" w:rsidP="005018FE">
      <w:pPr>
        <w:autoSpaceDE w:val="0"/>
        <w:autoSpaceDN w:val="0"/>
        <w:adjustRightInd w:val="0"/>
        <w:rPr>
          <w:bCs/>
        </w:rPr>
      </w:pPr>
      <w:r w:rsidRPr="000077A7">
        <w:t>The changing student population requires high-quality instruction and support services responsive to the needs of all students, regardless of ethnicity, language, socioeconomic background, or disability.</w:t>
      </w:r>
    </w:p>
    <w:p w14:paraId="0F9D5FBA" w14:textId="77777777" w:rsidR="00364203" w:rsidRPr="000077A7" w:rsidRDefault="00364203" w:rsidP="005018FE">
      <w:pPr>
        <w:autoSpaceDE w:val="0"/>
        <w:autoSpaceDN w:val="0"/>
        <w:adjustRightInd w:val="0"/>
        <w:rPr>
          <w:bCs/>
          <w:i/>
          <w:iCs/>
        </w:rPr>
      </w:pPr>
    </w:p>
    <w:p w14:paraId="0F9D5FBB" w14:textId="0833A27B" w:rsidR="00364203" w:rsidRPr="000077A7" w:rsidRDefault="00364203" w:rsidP="005018FE">
      <w:pPr>
        <w:pStyle w:val="Heading2"/>
        <w:spacing w:before="0"/>
        <w:rPr>
          <w:color w:val="auto"/>
          <w:sz w:val="22"/>
          <w:szCs w:val="22"/>
        </w:rPr>
      </w:pPr>
      <w:bookmarkStart w:id="63" w:name="_Toc341183234"/>
      <w:bookmarkStart w:id="64" w:name="_Toc506217413"/>
      <w:r w:rsidRPr="000077A7">
        <w:rPr>
          <w:color w:val="auto"/>
          <w:sz w:val="22"/>
          <w:szCs w:val="22"/>
        </w:rPr>
        <w:t xml:space="preserve">Annual </w:t>
      </w:r>
      <w:r w:rsidR="009405B3" w:rsidRPr="000077A7">
        <w:rPr>
          <w:color w:val="auto"/>
          <w:sz w:val="22"/>
          <w:szCs w:val="22"/>
        </w:rPr>
        <w:t xml:space="preserve">Resident </w:t>
      </w:r>
      <w:r w:rsidRPr="000077A7">
        <w:rPr>
          <w:color w:val="auto"/>
          <w:sz w:val="22"/>
          <w:szCs w:val="22"/>
        </w:rPr>
        <w:t>Full-Time Equivalent Students (FTES</w:t>
      </w:r>
      <w:r w:rsidR="008770C6" w:rsidRPr="000077A7">
        <w:rPr>
          <w:color w:val="auto"/>
          <w:sz w:val="22"/>
          <w:szCs w:val="22"/>
        </w:rPr>
        <w:t>)</w:t>
      </w:r>
      <w:bookmarkEnd w:id="63"/>
      <w:bookmarkEnd w:id="64"/>
    </w:p>
    <w:p w14:paraId="0F9D5FBC" w14:textId="78F5FD0C" w:rsidR="009B0DAD" w:rsidRPr="00D04408" w:rsidRDefault="00F6029B" w:rsidP="00D04408">
      <w:pPr>
        <w:autoSpaceDE w:val="0"/>
        <w:autoSpaceDN w:val="0"/>
        <w:adjustRightInd w:val="0"/>
        <w:spacing w:line="240" w:lineRule="auto"/>
      </w:pPr>
      <w:r w:rsidRPr="00D04408">
        <w:t>In 2012-13, the District chose to pursue a stabilization st</w:t>
      </w:r>
      <w:r w:rsidR="00461F7D" w:rsidRPr="00D04408">
        <w:t>rategy in order to deal with the potential additional budget cuts had Prop 30 not passed</w:t>
      </w:r>
      <w:r w:rsidRPr="00D04408">
        <w:t>.</w:t>
      </w:r>
      <w:r w:rsidR="00A8701F" w:rsidRPr="00D04408">
        <w:t xml:space="preserve"> Thus, the decline in FTES in 2012-13 was a targeted </w:t>
      </w:r>
      <w:r w:rsidR="00D04408" w:rsidRPr="00D04408">
        <w:t xml:space="preserve">and intentional </w:t>
      </w:r>
      <w:r w:rsidR="00A8701F" w:rsidRPr="00D04408">
        <w:t xml:space="preserve">strategy. Starting in </w:t>
      </w:r>
      <w:r w:rsidR="009405B3" w:rsidRPr="00D04408">
        <w:t xml:space="preserve">FY </w:t>
      </w:r>
      <w:r w:rsidR="00A8701F" w:rsidRPr="00D04408">
        <w:t xml:space="preserve">2013-14, the </w:t>
      </w:r>
      <w:r w:rsidR="001D4E1E" w:rsidRPr="00D04408">
        <w:t>District</w:t>
      </w:r>
      <w:r w:rsidR="00A8701F" w:rsidRPr="00D04408">
        <w:t xml:space="preserve"> </w:t>
      </w:r>
      <w:r w:rsidR="001D4E1E" w:rsidRPr="00D04408">
        <w:t>started restoring</w:t>
      </w:r>
      <w:r w:rsidR="00A8701F" w:rsidRPr="00D04408">
        <w:t xml:space="preserve"> classes to fully meet the funded FTES level for which the District qualifies</w:t>
      </w:r>
      <w:r w:rsidR="009405B3" w:rsidRPr="00D04408">
        <w:t xml:space="preserve"> and </w:t>
      </w:r>
      <w:r w:rsidR="001D4E1E" w:rsidRPr="00D04408">
        <w:t xml:space="preserve">the resident FTES </w:t>
      </w:r>
      <w:r w:rsidR="009405B3" w:rsidRPr="00D04408">
        <w:t xml:space="preserve">grew 8.4% </w:t>
      </w:r>
      <w:r w:rsidR="001D4E1E" w:rsidRPr="00D04408">
        <w:t>compared to</w:t>
      </w:r>
      <w:r w:rsidR="009405B3" w:rsidRPr="00D04408">
        <w:t xml:space="preserve"> FY 2012-13</w:t>
      </w:r>
      <w:r w:rsidR="00A8701F" w:rsidRPr="00D04408">
        <w:t>.</w:t>
      </w:r>
      <w:r w:rsidR="00D04408" w:rsidRPr="00D04408">
        <w:t xml:space="preserve"> In spite of the significant increase in classes offered, due to improved economy and increased state budget, in 2014-15 </w:t>
      </w:r>
      <w:r w:rsidR="00FB3548">
        <w:t xml:space="preserve">the District </w:t>
      </w:r>
      <w:r w:rsidR="00D04408" w:rsidRPr="00D04408">
        <w:t xml:space="preserve">would have had to use close to 1,700 resident FTES from summer 2015 to meet its funded base. This would have put the District at significant risk and </w:t>
      </w:r>
      <w:r w:rsidR="00D04408" w:rsidRPr="00D04408">
        <w:rPr>
          <w:rFonts w:cs="Times New Roman"/>
        </w:rPr>
        <w:t>thus the District strategically and proactively decided to enter into stabilization for the 2014-15 fiscal year.</w:t>
      </w:r>
      <w:r w:rsidR="00D04408" w:rsidRPr="00D04408">
        <w:t xml:space="preserve"> In FY 2015-16, the Distric</w:t>
      </w:r>
      <w:r w:rsidR="00FB3548">
        <w:t xml:space="preserve">t had to utilize 555 </w:t>
      </w:r>
      <w:r w:rsidR="00D04408" w:rsidRPr="00D04408">
        <w:t xml:space="preserve">resident FTES from summer 2016 to meet its funded base. </w:t>
      </w:r>
      <w:r w:rsidR="00FB3548">
        <w:t xml:space="preserve">In FY 2016-17, the District  decided to pursue stabilization again in order preserve all summer 2017 for reporting towards FY 2017-18. </w:t>
      </w:r>
      <w:r w:rsidR="00D04408" w:rsidRPr="00D04408">
        <w:t>The numbers</w:t>
      </w:r>
      <w:r w:rsidR="00FB3548">
        <w:t xml:space="preserve"> below represent the </w:t>
      </w:r>
      <w:r w:rsidR="00D04408" w:rsidRPr="00D04408">
        <w:t>resident FTES as reported in the CCFS-320 Annual apportionment report.</w:t>
      </w:r>
    </w:p>
    <w:p w14:paraId="0F9D5FC0" w14:textId="19CE99C4" w:rsidR="00CA467F" w:rsidRPr="00B9364B" w:rsidRDefault="00AB0A41" w:rsidP="00364203">
      <w:pPr>
        <w:autoSpaceDE w:val="0"/>
        <w:autoSpaceDN w:val="0"/>
        <w:adjustRightInd w:val="0"/>
        <w:jc w:val="center"/>
        <w:rPr>
          <w:color w:val="FF0000"/>
          <w:szCs w:val="24"/>
        </w:rPr>
      </w:pPr>
      <w:r w:rsidRPr="00B9364B">
        <w:rPr>
          <w:b/>
          <w:noProof/>
          <w:color w:val="FF0000"/>
        </w:rPr>
        <w:drawing>
          <wp:inline distT="0" distB="0" distL="0" distR="0" wp14:anchorId="25EDB624" wp14:editId="78B3409D">
            <wp:extent cx="6762750" cy="22764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9D5FC1" w14:textId="432A82A2" w:rsidR="008364D7" w:rsidRPr="000077A7" w:rsidRDefault="00394073" w:rsidP="00F22D1E">
      <w:pPr>
        <w:autoSpaceDE w:val="0"/>
        <w:autoSpaceDN w:val="0"/>
        <w:adjustRightInd w:val="0"/>
        <w:rPr>
          <w:sz w:val="16"/>
          <w:szCs w:val="16"/>
        </w:rPr>
      </w:pPr>
      <w:r w:rsidRPr="000077A7">
        <w:rPr>
          <w:sz w:val="16"/>
          <w:szCs w:val="16"/>
        </w:rPr>
        <w:t xml:space="preserve">Source: </w:t>
      </w:r>
      <w:r w:rsidR="009405B3" w:rsidRPr="000077A7">
        <w:rPr>
          <w:sz w:val="16"/>
          <w:szCs w:val="16"/>
        </w:rPr>
        <w:t xml:space="preserve">Certified </w:t>
      </w:r>
      <w:r w:rsidR="00BD6D72" w:rsidRPr="000077A7">
        <w:rPr>
          <w:sz w:val="16"/>
          <w:szCs w:val="16"/>
        </w:rPr>
        <w:t>CCFS-</w:t>
      </w:r>
      <w:r w:rsidR="00D57171" w:rsidRPr="000077A7">
        <w:rPr>
          <w:sz w:val="16"/>
          <w:szCs w:val="16"/>
        </w:rPr>
        <w:t>320</w:t>
      </w:r>
      <w:r w:rsidR="009405B3" w:rsidRPr="000077A7">
        <w:rPr>
          <w:sz w:val="16"/>
          <w:szCs w:val="16"/>
        </w:rPr>
        <w:t xml:space="preserve"> Annual</w:t>
      </w:r>
      <w:r w:rsidR="00D57171" w:rsidRPr="000077A7">
        <w:rPr>
          <w:sz w:val="16"/>
          <w:szCs w:val="16"/>
        </w:rPr>
        <w:t xml:space="preserve"> </w:t>
      </w:r>
      <w:r w:rsidR="009405B3" w:rsidRPr="000077A7">
        <w:rPr>
          <w:sz w:val="16"/>
          <w:szCs w:val="16"/>
        </w:rPr>
        <w:t>R</w:t>
      </w:r>
      <w:r w:rsidR="000077A7" w:rsidRPr="000077A7">
        <w:rPr>
          <w:sz w:val="16"/>
          <w:szCs w:val="16"/>
        </w:rPr>
        <w:t>eport</w:t>
      </w:r>
      <w:r w:rsidR="000077A7">
        <w:rPr>
          <w:sz w:val="16"/>
          <w:szCs w:val="16"/>
        </w:rPr>
        <w:t xml:space="preserve"> (Includes Credit + Non-credit)</w:t>
      </w:r>
    </w:p>
    <w:p w14:paraId="0F9D5FC3" w14:textId="02161102" w:rsidR="00CA467F" w:rsidRPr="00B9364B" w:rsidRDefault="00CA467F">
      <w:pPr>
        <w:rPr>
          <w:rFonts w:eastAsia="Times New Roman"/>
          <w:bCs/>
          <w:i/>
          <w:iCs/>
          <w:color w:val="FF0000"/>
          <w:sz w:val="24"/>
          <w:szCs w:val="28"/>
        </w:rPr>
      </w:pPr>
      <w:bookmarkStart w:id="65" w:name="_Toc341183235"/>
    </w:p>
    <w:p w14:paraId="0F9D5FC4" w14:textId="560295E0" w:rsidR="00364203" w:rsidRPr="006A6AD3" w:rsidRDefault="000077A7" w:rsidP="00935FF4">
      <w:pPr>
        <w:pStyle w:val="Heading2"/>
        <w:spacing w:before="0"/>
        <w:rPr>
          <w:color w:val="auto"/>
        </w:rPr>
      </w:pPr>
      <w:bookmarkStart w:id="66" w:name="_Toc506217414"/>
      <w:bookmarkEnd w:id="65"/>
      <w:r w:rsidRPr="006A6AD3">
        <w:rPr>
          <w:color w:val="auto"/>
        </w:rPr>
        <w:t>Student Headcounts</w:t>
      </w:r>
      <w:bookmarkEnd w:id="66"/>
    </w:p>
    <w:p w14:paraId="340D88A4" w14:textId="77777777" w:rsidR="00D11EDD" w:rsidRPr="006A6AD3" w:rsidRDefault="00D11EDD" w:rsidP="00935FF4"/>
    <w:p w14:paraId="0F9D5FC5" w14:textId="5F25BF67" w:rsidR="00364203" w:rsidRPr="006A6AD3" w:rsidRDefault="00364203" w:rsidP="00935FF4">
      <w:pPr>
        <w:pStyle w:val="Heading3"/>
        <w:spacing w:before="0"/>
        <w:rPr>
          <w:b w:val="0"/>
          <w:color w:val="auto"/>
        </w:rPr>
      </w:pPr>
      <w:bookmarkStart w:id="67" w:name="_Toc341183236"/>
      <w:bookmarkStart w:id="68" w:name="_Toc506217415"/>
      <w:r w:rsidRPr="006A6AD3">
        <w:rPr>
          <w:b w:val="0"/>
          <w:color w:val="auto"/>
        </w:rPr>
        <w:lastRenderedPageBreak/>
        <w:t>Credit Student Headcount</w:t>
      </w:r>
      <w:bookmarkEnd w:id="67"/>
      <w:bookmarkEnd w:id="68"/>
    </w:p>
    <w:p w14:paraId="0F9D5FC6" w14:textId="0FC2B508" w:rsidR="00364203" w:rsidRPr="004C6DDF" w:rsidRDefault="00220270" w:rsidP="00B7064C">
      <w:pPr>
        <w:autoSpaceDE w:val="0"/>
        <w:autoSpaceDN w:val="0"/>
        <w:adjustRightInd w:val="0"/>
      </w:pPr>
      <w:r w:rsidRPr="004C6DDF">
        <w:t xml:space="preserve">Across the </w:t>
      </w:r>
      <w:r w:rsidR="007D5949" w:rsidRPr="004C6DDF">
        <w:t>District</w:t>
      </w:r>
      <w:r w:rsidRPr="004C6DDF">
        <w:t>, t</w:t>
      </w:r>
      <w:r w:rsidR="00364203" w:rsidRPr="004C6DDF">
        <w:t xml:space="preserve">he </w:t>
      </w:r>
      <w:r w:rsidR="006A6AD3" w:rsidRPr="004C6DDF">
        <w:t>fall</w:t>
      </w:r>
      <w:r w:rsidR="00A86ECD" w:rsidRPr="004C6DDF">
        <w:t xml:space="preserve"> 2016</w:t>
      </w:r>
      <w:r w:rsidR="006A6AD3" w:rsidRPr="004C6DDF">
        <w:t xml:space="preserve"> </w:t>
      </w:r>
      <w:r w:rsidR="00364203" w:rsidRPr="004C6DDF">
        <w:t xml:space="preserve">credit student </w:t>
      </w:r>
      <w:r w:rsidR="004E438F" w:rsidRPr="004C6DDF">
        <w:t xml:space="preserve">unduplicated </w:t>
      </w:r>
      <w:r w:rsidR="00364203" w:rsidRPr="004C6DDF">
        <w:t xml:space="preserve">headcount </w:t>
      </w:r>
      <w:r w:rsidR="00A86ECD" w:rsidRPr="004C6DDF">
        <w:t xml:space="preserve">dropped </w:t>
      </w:r>
      <w:r w:rsidR="00FB3548">
        <w:t xml:space="preserve">to 42,952 </w:t>
      </w:r>
      <w:r w:rsidR="00A86ECD" w:rsidRPr="004C6DDF">
        <w:t>from a high</w:t>
      </w:r>
      <w:r w:rsidR="00355760" w:rsidRPr="004C6DDF">
        <w:t xml:space="preserve"> </w:t>
      </w:r>
      <w:r w:rsidR="00FB3548">
        <w:t>of 46,092</w:t>
      </w:r>
      <w:r w:rsidR="00A86ECD" w:rsidRPr="004C6DDF">
        <w:t xml:space="preserve"> in fall 2014.</w:t>
      </w:r>
      <w:r w:rsidR="006A6AD3" w:rsidRPr="004C6DDF">
        <w:t xml:space="preserve"> </w:t>
      </w:r>
      <w:r w:rsidR="00306903">
        <w:t>This is the lowest headcount over the five fall semesters.</w:t>
      </w:r>
    </w:p>
    <w:p w14:paraId="2364D052" w14:textId="77777777" w:rsidR="00C96A51" w:rsidRPr="00A86ECD" w:rsidRDefault="00C96A51" w:rsidP="00B7064C">
      <w:pPr>
        <w:autoSpaceDE w:val="0"/>
        <w:autoSpaceDN w:val="0"/>
        <w:adjustRightInd w:val="0"/>
        <w:rPr>
          <w:color w:val="FF0000"/>
        </w:rPr>
      </w:pPr>
    </w:p>
    <w:p w14:paraId="4422A8E5" w14:textId="3F102B16" w:rsidR="00187B45" w:rsidRPr="00B9364B" w:rsidRDefault="00187B45" w:rsidP="00935FF4">
      <w:pPr>
        <w:autoSpaceDE w:val="0"/>
        <w:autoSpaceDN w:val="0"/>
        <w:adjustRightInd w:val="0"/>
        <w:rPr>
          <w:color w:val="FF0000"/>
        </w:rPr>
      </w:pPr>
      <w:r w:rsidRPr="00B9364B">
        <w:rPr>
          <w:b/>
          <w:noProof/>
          <w:color w:val="FF0000"/>
        </w:rPr>
        <w:drawing>
          <wp:inline distT="0" distB="0" distL="0" distR="0" wp14:anchorId="6ADE93E9" wp14:editId="19D420A0">
            <wp:extent cx="6762750" cy="1981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E21F88" w14:textId="77777777" w:rsidR="004E438F" w:rsidRPr="004E438F" w:rsidRDefault="004E438F" w:rsidP="004E438F">
      <w:pPr>
        <w:autoSpaceDE w:val="0"/>
        <w:autoSpaceDN w:val="0"/>
        <w:adjustRightInd w:val="0"/>
        <w:rPr>
          <w:bCs/>
          <w:sz w:val="16"/>
          <w:szCs w:val="16"/>
        </w:rPr>
      </w:pPr>
      <w:r w:rsidRPr="004E438F">
        <w:rPr>
          <w:sz w:val="16"/>
          <w:szCs w:val="16"/>
        </w:rPr>
        <w:t>Source: Student Characteristics Cube</w:t>
      </w:r>
    </w:p>
    <w:p w14:paraId="5ADC6721" w14:textId="77777777" w:rsidR="00935FF4" w:rsidRPr="00B9364B" w:rsidRDefault="00935FF4" w:rsidP="00935FF4">
      <w:pPr>
        <w:autoSpaceDE w:val="0"/>
        <w:autoSpaceDN w:val="0"/>
        <w:adjustRightInd w:val="0"/>
        <w:rPr>
          <w:color w:val="FF0000"/>
        </w:rPr>
      </w:pPr>
    </w:p>
    <w:p w14:paraId="0F9D5FCA" w14:textId="558763B6" w:rsidR="002C08C5" w:rsidRPr="00AA5E2C" w:rsidRDefault="002C08C5" w:rsidP="00935FF4">
      <w:pPr>
        <w:pStyle w:val="Heading3"/>
        <w:spacing w:before="0"/>
        <w:rPr>
          <w:b w:val="0"/>
          <w:color w:val="auto"/>
        </w:rPr>
      </w:pPr>
      <w:bookmarkStart w:id="69" w:name="_Toc341183237"/>
      <w:bookmarkStart w:id="70" w:name="_Toc506217416"/>
      <w:r w:rsidRPr="00AA5E2C">
        <w:rPr>
          <w:b w:val="0"/>
          <w:color w:val="auto"/>
        </w:rPr>
        <w:t xml:space="preserve">Full-Time </w:t>
      </w:r>
      <w:r w:rsidR="005E12D1" w:rsidRPr="00AA5E2C">
        <w:rPr>
          <w:b w:val="0"/>
          <w:color w:val="auto"/>
        </w:rPr>
        <w:t xml:space="preserve">Credit </w:t>
      </w:r>
      <w:r w:rsidRPr="00AA5E2C">
        <w:rPr>
          <w:b w:val="0"/>
          <w:color w:val="auto"/>
        </w:rPr>
        <w:t>Student Headcount</w:t>
      </w:r>
      <w:bookmarkEnd w:id="69"/>
      <w:bookmarkEnd w:id="70"/>
    </w:p>
    <w:p w14:paraId="0F9D5FCB" w14:textId="347DA3CB" w:rsidR="002C08C5" w:rsidRPr="00AA5E2C" w:rsidRDefault="004E438F" w:rsidP="00935FF4">
      <w:pPr>
        <w:autoSpaceDE w:val="0"/>
        <w:autoSpaceDN w:val="0"/>
        <w:adjustRightInd w:val="0"/>
      </w:pPr>
      <w:r w:rsidRPr="00AA5E2C">
        <w:t>Similar to the credit student headcount trend</w:t>
      </w:r>
      <w:r w:rsidR="00AA5E2C" w:rsidRPr="00AA5E2C">
        <w:t>s</w:t>
      </w:r>
      <w:r w:rsidRPr="00AA5E2C">
        <w:t xml:space="preserve">, </w:t>
      </w:r>
      <w:r w:rsidR="00CC7DE6" w:rsidRPr="00AA5E2C">
        <w:t>t</w:t>
      </w:r>
      <w:r w:rsidR="002C08C5" w:rsidRPr="00AA5E2C">
        <w:t xml:space="preserve">he number of full-time students (enrolled in 12 or more units) </w:t>
      </w:r>
      <w:r w:rsidR="001A7B47" w:rsidRPr="00AA5E2C">
        <w:t>de</w:t>
      </w:r>
      <w:r w:rsidR="005008C0" w:rsidRPr="00AA5E2C">
        <w:t xml:space="preserve">creased </w:t>
      </w:r>
      <w:r w:rsidR="00A86ECD" w:rsidRPr="00A11823">
        <w:t>in fall 2016</w:t>
      </w:r>
      <w:r w:rsidR="00860857">
        <w:t xml:space="preserve"> to its lowest level over the five-year period</w:t>
      </w:r>
      <w:r w:rsidR="00A86ECD">
        <w:t>.</w:t>
      </w:r>
    </w:p>
    <w:p w14:paraId="357BEC71" w14:textId="77777777" w:rsidR="001A7B47" w:rsidRPr="00C04CF3" w:rsidRDefault="001A7B47" w:rsidP="00935FF4">
      <w:pPr>
        <w:autoSpaceDE w:val="0"/>
        <w:autoSpaceDN w:val="0"/>
        <w:adjustRightInd w:val="0"/>
        <w:rPr>
          <w:color w:val="FF0000"/>
          <w:sz w:val="16"/>
          <w:szCs w:val="16"/>
        </w:rPr>
      </w:pPr>
    </w:p>
    <w:p w14:paraId="0F9D5FCC" w14:textId="1B1B5D89" w:rsidR="002C08C5" w:rsidRPr="00B9364B" w:rsidRDefault="00C90FF9" w:rsidP="00935FF4">
      <w:pPr>
        <w:autoSpaceDE w:val="0"/>
        <w:autoSpaceDN w:val="0"/>
        <w:adjustRightInd w:val="0"/>
        <w:rPr>
          <w:color w:val="FF0000"/>
        </w:rPr>
      </w:pPr>
      <w:r w:rsidRPr="00B9364B">
        <w:rPr>
          <w:b/>
          <w:noProof/>
          <w:color w:val="FF0000"/>
        </w:rPr>
        <w:drawing>
          <wp:inline distT="0" distB="0" distL="0" distR="0" wp14:anchorId="03E01F60" wp14:editId="04C6E696">
            <wp:extent cx="6978650" cy="2051437"/>
            <wp:effectExtent l="0" t="0" r="0"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9D5FCF" w14:textId="5483FBD5" w:rsidR="008C791D" w:rsidRPr="00AA5E2C" w:rsidRDefault="00F8119A" w:rsidP="008C791D">
      <w:pPr>
        <w:autoSpaceDE w:val="0"/>
        <w:autoSpaceDN w:val="0"/>
        <w:adjustRightInd w:val="0"/>
        <w:rPr>
          <w:bCs/>
          <w:sz w:val="16"/>
          <w:szCs w:val="16"/>
        </w:rPr>
      </w:pPr>
      <w:r w:rsidRPr="00AA5E2C">
        <w:rPr>
          <w:sz w:val="16"/>
          <w:szCs w:val="16"/>
        </w:rPr>
        <w:t xml:space="preserve">Source: </w:t>
      </w:r>
      <w:r w:rsidR="004E438F" w:rsidRPr="00AA5E2C">
        <w:rPr>
          <w:sz w:val="16"/>
          <w:szCs w:val="16"/>
        </w:rPr>
        <w:t>Student Characteristics Cube</w:t>
      </w:r>
    </w:p>
    <w:p w14:paraId="0F9D5FD0" w14:textId="77777777" w:rsidR="008C791D" w:rsidRPr="00C04CF3" w:rsidRDefault="008C791D" w:rsidP="00935FF4">
      <w:pPr>
        <w:autoSpaceDE w:val="0"/>
        <w:autoSpaceDN w:val="0"/>
        <w:adjustRightInd w:val="0"/>
        <w:rPr>
          <w:bCs/>
          <w:color w:val="FF0000"/>
          <w:sz w:val="18"/>
          <w:szCs w:val="18"/>
        </w:rPr>
      </w:pPr>
    </w:p>
    <w:p w14:paraId="0F9D5FD7" w14:textId="3D403A60" w:rsidR="002C08C5" w:rsidRPr="00760365" w:rsidRDefault="001F44F6" w:rsidP="009B07F5">
      <w:pPr>
        <w:pStyle w:val="Heading3"/>
        <w:spacing w:before="0"/>
        <w:rPr>
          <w:b w:val="0"/>
          <w:color w:val="auto"/>
        </w:rPr>
      </w:pPr>
      <w:bookmarkStart w:id="71" w:name="_Toc341183239"/>
      <w:bookmarkStart w:id="72" w:name="_Toc506217417"/>
      <w:r w:rsidRPr="00760365">
        <w:rPr>
          <w:b w:val="0"/>
          <w:color w:val="auto"/>
        </w:rPr>
        <w:t>First-Time</w:t>
      </w:r>
      <w:r w:rsidR="002C08C5" w:rsidRPr="00760365">
        <w:rPr>
          <w:b w:val="0"/>
          <w:color w:val="auto"/>
        </w:rPr>
        <w:t xml:space="preserve"> Students from the District’s Local High Schools</w:t>
      </w:r>
      <w:bookmarkEnd w:id="71"/>
      <w:bookmarkEnd w:id="72"/>
      <w:r w:rsidR="00143644" w:rsidRPr="00760365">
        <w:rPr>
          <w:b w:val="0"/>
          <w:color w:val="auto"/>
        </w:rPr>
        <w:t xml:space="preserve"> </w:t>
      </w:r>
    </w:p>
    <w:p w14:paraId="0F9D5FD9" w14:textId="1B13AEE2" w:rsidR="00D861D9" w:rsidRPr="004C6DDF" w:rsidRDefault="002C08C5" w:rsidP="00707205">
      <w:pPr>
        <w:autoSpaceDE w:val="0"/>
        <w:autoSpaceDN w:val="0"/>
        <w:adjustRightInd w:val="0"/>
      </w:pPr>
      <w:r w:rsidRPr="00760365">
        <w:t>The percentage of local high school graduates enrollin</w:t>
      </w:r>
      <w:r w:rsidR="001F44F6" w:rsidRPr="00760365">
        <w:t xml:space="preserve">g as </w:t>
      </w:r>
      <w:r w:rsidR="006B6E84" w:rsidRPr="00760365">
        <w:t xml:space="preserve">first-time freshmen at </w:t>
      </w:r>
      <w:r w:rsidR="005977BA" w:rsidRPr="00760365">
        <w:t xml:space="preserve">a </w:t>
      </w:r>
      <w:r w:rsidR="00A67D22" w:rsidRPr="00760365">
        <w:t>c</w:t>
      </w:r>
      <w:r w:rsidR="005977BA" w:rsidRPr="00760365">
        <w:t xml:space="preserve">ollege </w:t>
      </w:r>
      <w:r w:rsidR="00A67D22" w:rsidRPr="00760365">
        <w:t xml:space="preserve">within the District </w:t>
      </w:r>
      <w:r w:rsidR="006B6E84" w:rsidRPr="004C6DDF">
        <w:t>in f</w:t>
      </w:r>
      <w:r w:rsidR="001F44F6" w:rsidRPr="004C6DDF">
        <w:t>all 201</w:t>
      </w:r>
      <w:r w:rsidR="00C04CF3" w:rsidRPr="004C6DDF">
        <w:t>6</w:t>
      </w:r>
      <w:r w:rsidR="001F44F6" w:rsidRPr="004C6DDF">
        <w:t xml:space="preserve"> was </w:t>
      </w:r>
      <w:r w:rsidR="00C04CF3" w:rsidRPr="004C6DDF">
        <w:t>39.5</w:t>
      </w:r>
      <w:r w:rsidR="001F44F6" w:rsidRPr="004C6DDF">
        <w:t xml:space="preserve">%. </w:t>
      </w:r>
      <w:r w:rsidR="0090582C" w:rsidRPr="004C6DDF">
        <w:t>The f</w:t>
      </w:r>
      <w:r w:rsidRPr="004C6DDF">
        <w:t>all semester in which these students enroll as first-time freshmen does not necessarily follow immediately after the semester in which t</w:t>
      </w:r>
      <w:r w:rsidR="00707205" w:rsidRPr="004C6DDF">
        <w:t>hey graduated from high school.</w:t>
      </w:r>
      <w:r w:rsidR="00FB60FF" w:rsidRPr="004C6DDF">
        <w:t xml:space="preserve"> </w:t>
      </w:r>
      <w:r w:rsidR="00760365" w:rsidRPr="004C6DDF">
        <w:t xml:space="preserve">Of our traditional </w:t>
      </w:r>
      <w:r w:rsidR="00C04CF3" w:rsidRPr="004C6DDF">
        <w:t>local high school feeders Valley Vista</w:t>
      </w:r>
      <w:r w:rsidR="005977BA" w:rsidRPr="004C6DDF">
        <w:t xml:space="preserve"> H</w:t>
      </w:r>
      <w:r w:rsidR="00136C12" w:rsidRPr="004C6DDF">
        <w:t xml:space="preserve">igh </w:t>
      </w:r>
      <w:r w:rsidR="005977BA" w:rsidRPr="004C6DDF">
        <w:t>S</w:t>
      </w:r>
      <w:r w:rsidR="00136C12" w:rsidRPr="004C6DDF">
        <w:t>chool</w:t>
      </w:r>
      <w:r w:rsidR="005977BA" w:rsidRPr="004C6DDF">
        <w:t xml:space="preserve"> had the</w:t>
      </w:r>
      <w:r w:rsidR="00FB60FF" w:rsidRPr="004C6DDF">
        <w:t xml:space="preserve"> highest percentage enrolled (</w:t>
      </w:r>
      <w:r w:rsidR="00C04CF3" w:rsidRPr="004C6DDF">
        <w:t>64.1%). Fountain Valley</w:t>
      </w:r>
      <w:r w:rsidR="005977BA" w:rsidRPr="004C6DDF">
        <w:t xml:space="preserve"> H</w:t>
      </w:r>
      <w:r w:rsidR="00136C12" w:rsidRPr="004C6DDF">
        <w:t xml:space="preserve">igh </w:t>
      </w:r>
      <w:r w:rsidR="005977BA" w:rsidRPr="004C6DDF">
        <w:t>S</w:t>
      </w:r>
      <w:r w:rsidR="00136C12" w:rsidRPr="004C6DDF">
        <w:t>chool</w:t>
      </w:r>
      <w:r w:rsidR="005977BA" w:rsidRPr="004C6DDF">
        <w:t xml:space="preserve"> had the highest number of graduates enroll</w:t>
      </w:r>
      <w:r w:rsidR="001331E2" w:rsidRPr="004C6DDF">
        <w:t>ed</w:t>
      </w:r>
      <w:r w:rsidR="00FB60FF" w:rsidRPr="004C6DDF">
        <w:t xml:space="preserve"> (</w:t>
      </w:r>
      <w:r w:rsidR="00C04CF3" w:rsidRPr="004C6DDF">
        <w:t>322</w:t>
      </w:r>
      <w:r w:rsidR="005977BA" w:rsidRPr="004C6DDF">
        <w:t>).</w:t>
      </w:r>
    </w:p>
    <w:p w14:paraId="5D28DD61" w14:textId="77777777" w:rsidR="00C04CF3" w:rsidRPr="00C04CF3" w:rsidRDefault="00C04CF3" w:rsidP="00707205">
      <w:pPr>
        <w:autoSpaceDE w:val="0"/>
        <w:autoSpaceDN w:val="0"/>
        <w:adjustRightInd w:val="0"/>
        <w:rPr>
          <w:sz w:val="16"/>
          <w:szCs w:val="16"/>
        </w:rPr>
      </w:pPr>
    </w:p>
    <w:p w14:paraId="252A7890" w14:textId="0CCEE5F6" w:rsidR="00C46822" w:rsidRPr="00B9364B" w:rsidRDefault="00C04CF3" w:rsidP="00C46822">
      <w:pPr>
        <w:autoSpaceDE w:val="0"/>
        <w:autoSpaceDN w:val="0"/>
        <w:adjustRightInd w:val="0"/>
        <w:jc w:val="center"/>
        <w:rPr>
          <w:rFonts w:ascii="Calibri" w:hAnsi="Calibri"/>
          <w:color w:val="FF0000"/>
          <w:sz w:val="16"/>
          <w:szCs w:val="16"/>
        </w:rPr>
      </w:pPr>
      <w:r w:rsidRPr="00C04CF3">
        <w:rPr>
          <w:rFonts w:ascii="Calibri" w:hAnsi="Calibri"/>
          <w:noProof/>
          <w:color w:val="FF0000"/>
          <w:sz w:val="16"/>
          <w:szCs w:val="16"/>
        </w:rPr>
        <w:lastRenderedPageBreak/>
        <w:drawing>
          <wp:inline distT="0" distB="0" distL="0" distR="0" wp14:anchorId="3F789A54" wp14:editId="02D42193">
            <wp:extent cx="5553075" cy="439314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451" cy="4408469"/>
                    </a:xfrm>
                    <a:prstGeom prst="rect">
                      <a:avLst/>
                    </a:prstGeom>
                    <a:noFill/>
                    <a:ln>
                      <a:noFill/>
                    </a:ln>
                  </pic:spPr>
                </pic:pic>
              </a:graphicData>
            </a:graphic>
          </wp:inline>
        </w:drawing>
      </w:r>
    </w:p>
    <w:p w14:paraId="0F9D5FDD" w14:textId="249AABA5" w:rsidR="001F44F6" w:rsidRPr="00760365" w:rsidRDefault="001F44F6" w:rsidP="00454FD0">
      <w:pPr>
        <w:autoSpaceDE w:val="0"/>
        <w:autoSpaceDN w:val="0"/>
        <w:adjustRightInd w:val="0"/>
        <w:rPr>
          <w:rFonts w:ascii="Calibri" w:eastAsia="Times New Roman" w:hAnsi="Calibri"/>
          <w:sz w:val="16"/>
          <w:szCs w:val="16"/>
        </w:rPr>
      </w:pPr>
      <w:r w:rsidRPr="00760365">
        <w:rPr>
          <w:rFonts w:ascii="Calibri" w:eastAsia="Times New Roman" w:hAnsi="Calibri"/>
          <w:sz w:val="16"/>
          <w:szCs w:val="16"/>
        </w:rPr>
        <w:t>Source: Enrollment Data -</w:t>
      </w:r>
      <w:r w:rsidR="00D5352F" w:rsidRPr="00760365">
        <w:rPr>
          <w:rFonts w:ascii="Calibri" w:eastAsia="Times New Roman" w:hAnsi="Calibri"/>
          <w:sz w:val="16"/>
          <w:szCs w:val="16"/>
        </w:rPr>
        <w:t xml:space="preserve"> CCCD Student Characteristics Cube</w:t>
      </w:r>
    </w:p>
    <w:p w14:paraId="58590652" w14:textId="7488FA3B" w:rsidR="00760365" w:rsidRPr="00760365" w:rsidRDefault="001F44F6" w:rsidP="00760365">
      <w:pPr>
        <w:rPr>
          <w:rFonts w:ascii="Calibri" w:eastAsia="Times New Roman" w:hAnsi="Calibri" w:cs="Times New Roman"/>
          <w:sz w:val="16"/>
          <w:szCs w:val="16"/>
        </w:rPr>
      </w:pPr>
      <w:r w:rsidRPr="00760365">
        <w:rPr>
          <w:rFonts w:ascii="Calibri" w:eastAsia="Times New Roman" w:hAnsi="Calibri"/>
          <w:sz w:val="16"/>
          <w:szCs w:val="16"/>
        </w:rPr>
        <w:t xml:space="preserve">Source: HS Graduates - </w:t>
      </w:r>
      <w:r w:rsidR="00760365" w:rsidRPr="00760365">
        <w:rPr>
          <w:rFonts w:ascii="Calibri" w:eastAsia="Times New Roman" w:hAnsi="Calibri" w:cs="Times New Roman"/>
          <w:sz w:val="16"/>
          <w:szCs w:val="16"/>
        </w:rPr>
        <w:t>CA Dept of Ed (DataQuest)</w:t>
      </w:r>
    </w:p>
    <w:p w14:paraId="0F9D5FDE" w14:textId="25263E78" w:rsidR="001F44F6" w:rsidRPr="00B9364B" w:rsidRDefault="001F44F6" w:rsidP="006E7A97">
      <w:pPr>
        <w:rPr>
          <w:rFonts w:eastAsia="Times New Roman"/>
          <w:color w:val="FF0000"/>
          <w:sz w:val="16"/>
          <w:szCs w:val="16"/>
        </w:rPr>
      </w:pPr>
    </w:p>
    <w:p w14:paraId="5C73527D" w14:textId="77777777" w:rsidR="00E72358" w:rsidRPr="00232AFB" w:rsidRDefault="00E72358" w:rsidP="006E7A97">
      <w:pPr>
        <w:rPr>
          <w:rFonts w:eastAsia="Times New Roman"/>
          <w:sz w:val="16"/>
          <w:szCs w:val="16"/>
        </w:rPr>
      </w:pPr>
    </w:p>
    <w:p w14:paraId="0F9D5FE0" w14:textId="7E6558AE" w:rsidR="00CC7DE6" w:rsidRPr="00232AFB" w:rsidRDefault="002C08C5" w:rsidP="006E7A97">
      <w:pPr>
        <w:pStyle w:val="Heading3"/>
        <w:spacing w:before="0"/>
        <w:rPr>
          <w:b w:val="0"/>
          <w:color w:val="auto"/>
        </w:rPr>
      </w:pPr>
      <w:bookmarkStart w:id="73" w:name="_Toc341183240"/>
      <w:bookmarkStart w:id="74" w:name="_Toc506217418"/>
      <w:r w:rsidRPr="00232AFB">
        <w:rPr>
          <w:b w:val="0"/>
          <w:color w:val="auto"/>
        </w:rPr>
        <w:t>Online Student Headcount</w:t>
      </w:r>
      <w:bookmarkEnd w:id="73"/>
      <w:bookmarkEnd w:id="74"/>
    </w:p>
    <w:p w14:paraId="0F9D5FE1" w14:textId="576623E3" w:rsidR="002C08C5" w:rsidRPr="00AC670A" w:rsidRDefault="0082134E" w:rsidP="00B92002">
      <w:pPr>
        <w:autoSpaceDE w:val="0"/>
        <w:autoSpaceDN w:val="0"/>
        <w:adjustRightInd w:val="0"/>
      </w:pPr>
      <w:r w:rsidRPr="00232AFB">
        <w:t>T</w:t>
      </w:r>
      <w:r w:rsidR="00631A4B" w:rsidRPr="00232AFB">
        <w:t>he district</w:t>
      </w:r>
      <w:r w:rsidR="00670C62" w:rsidRPr="00232AFB">
        <w:t>-wide</w:t>
      </w:r>
      <w:r w:rsidR="00631A4B" w:rsidRPr="00232AFB">
        <w:t xml:space="preserve"> total </w:t>
      </w:r>
      <w:r w:rsidR="006B5658" w:rsidRPr="00232AFB">
        <w:t xml:space="preserve">unduplicated number of students enrolled only in online </w:t>
      </w:r>
      <w:r w:rsidR="006B5658" w:rsidRPr="00AC670A">
        <w:t xml:space="preserve">classes </w:t>
      </w:r>
      <w:r w:rsidR="00FA40BF">
        <w:t xml:space="preserve">has </w:t>
      </w:r>
      <w:r w:rsidR="00713E4F" w:rsidRPr="00AC670A">
        <w:t xml:space="preserve">increased </w:t>
      </w:r>
      <w:r w:rsidRPr="00AC670A">
        <w:t>from fall 201</w:t>
      </w:r>
      <w:r w:rsidR="00713E4F" w:rsidRPr="00AC670A">
        <w:t>2</w:t>
      </w:r>
      <w:r w:rsidRPr="00AC670A">
        <w:t xml:space="preserve"> to fall 201</w:t>
      </w:r>
      <w:r w:rsidR="00713E4F" w:rsidRPr="00AC670A">
        <w:t>6</w:t>
      </w:r>
      <w:r w:rsidR="00631A4B" w:rsidRPr="00AC670A">
        <w:t xml:space="preserve">. </w:t>
      </w:r>
      <w:r w:rsidR="00232AFB" w:rsidRPr="00AC670A">
        <w:t>Coastline has increa</w:t>
      </w:r>
      <w:r w:rsidR="00FA40BF">
        <w:t>sed each fall semester</w:t>
      </w:r>
      <w:r w:rsidR="00713E4F" w:rsidRPr="00AC670A">
        <w:t xml:space="preserve"> </w:t>
      </w:r>
      <w:r w:rsidR="00232AFB" w:rsidRPr="00AC670A">
        <w:t xml:space="preserve">while the </w:t>
      </w:r>
      <w:r w:rsidR="00713E4F" w:rsidRPr="00AC670A">
        <w:t xml:space="preserve">Military decreased in each of the last three fall </w:t>
      </w:r>
      <w:r w:rsidR="00FA40BF">
        <w:t>semesters</w:t>
      </w:r>
      <w:r w:rsidR="00232AFB" w:rsidRPr="00AC670A">
        <w:t>.</w:t>
      </w:r>
    </w:p>
    <w:p w14:paraId="0F9D5FE4" w14:textId="3533BB8A" w:rsidR="00D232DA" w:rsidRPr="00232AFB" w:rsidRDefault="00644EE4" w:rsidP="002C08C5">
      <w:pPr>
        <w:autoSpaceDE w:val="0"/>
        <w:autoSpaceDN w:val="0"/>
        <w:adjustRightInd w:val="0"/>
        <w:jc w:val="center"/>
        <w:rPr>
          <w:noProof/>
          <w:szCs w:val="8"/>
        </w:rPr>
      </w:pPr>
      <w:r w:rsidRPr="00232AFB">
        <w:rPr>
          <w:rFonts w:ascii="Calibri" w:hAnsi="Calibri"/>
          <w:b/>
          <w:noProof/>
          <w:sz w:val="20"/>
          <w:szCs w:val="20"/>
        </w:rPr>
        <w:drawing>
          <wp:inline distT="0" distB="0" distL="0" distR="0" wp14:anchorId="5502D01B" wp14:editId="07B9EDA5">
            <wp:extent cx="6972300" cy="209914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E19E4B" w14:textId="77777777" w:rsidR="002D2488" w:rsidRPr="00232AFB" w:rsidRDefault="002D2488" w:rsidP="0053610A">
      <w:pPr>
        <w:autoSpaceDE w:val="0"/>
        <w:autoSpaceDN w:val="0"/>
        <w:adjustRightInd w:val="0"/>
        <w:rPr>
          <w:bCs/>
          <w:sz w:val="16"/>
          <w:szCs w:val="16"/>
        </w:rPr>
      </w:pPr>
    </w:p>
    <w:p w14:paraId="0F9D5FEB" w14:textId="6C0ECA85" w:rsidR="0053610A" w:rsidRPr="00232AFB" w:rsidRDefault="00F10197" w:rsidP="0053610A">
      <w:pPr>
        <w:autoSpaceDE w:val="0"/>
        <w:autoSpaceDN w:val="0"/>
        <w:adjustRightInd w:val="0"/>
        <w:rPr>
          <w:bCs/>
          <w:sz w:val="16"/>
          <w:szCs w:val="16"/>
        </w:rPr>
      </w:pPr>
      <w:r w:rsidRPr="00232AFB">
        <w:rPr>
          <w:sz w:val="16"/>
          <w:szCs w:val="16"/>
        </w:rPr>
        <w:t>Source: CCCD Student Information System</w:t>
      </w:r>
    </w:p>
    <w:p w14:paraId="5BE6D6EE" w14:textId="77777777" w:rsidR="00713E4F" w:rsidRDefault="00713E4F">
      <w:pPr>
        <w:pStyle w:val="Heading3"/>
        <w:rPr>
          <w:b w:val="0"/>
          <w:color w:val="auto"/>
        </w:rPr>
      </w:pPr>
      <w:bookmarkStart w:id="75" w:name="_Toc341183241"/>
    </w:p>
    <w:p w14:paraId="0F9D5FEE" w14:textId="7652A73D" w:rsidR="00CF0FD1" w:rsidRPr="00B37413" w:rsidRDefault="00CF0FD1">
      <w:pPr>
        <w:pStyle w:val="Heading3"/>
        <w:rPr>
          <w:b w:val="0"/>
          <w:color w:val="auto"/>
        </w:rPr>
      </w:pPr>
      <w:bookmarkStart w:id="76" w:name="_Toc506217419"/>
      <w:r w:rsidRPr="00B37413">
        <w:rPr>
          <w:b w:val="0"/>
          <w:color w:val="auto"/>
        </w:rPr>
        <w:t>Percentage o</w:t>
      </w:r>
      <w:r w:rsidR="00C02619" w:rsidRPr="00B37413">
        <w:rPr>
          <w:b w:val="0"/>
          <w:color w:val="auto"/>
        </w:rPr>
        <w:t xml:space="preserve">f the </w:t>
      </w:r>
      <w:r w:rsidRPr="00B37413">
        <w:rPr>
          <w:b w:val="0"/>
          <w:color w:val="auto"/>
        </w:rPr>
        <w:t>District Adult Population Served by the Credit Program</w:t>
      </w:r>
      <w:bookmarkEnd w:id="75"/>
      <w:bookmarkEnd w:id="76"/>
    </w:p>
    <w:p w14:paraId="0F9D5FEF" w14:textId="12684303" w:rsidR="00CF0FD1" w:rsidRPr="00B37413" w:rsidRDefault="00B924D0" w:rsidP="00122D65">
      <w:pPr>
        <w:keepNext/>
        <w:autoSpaceDE w:val="0"/>
        <w:autoSpaceDN w:val="0"/>
        <w:adjustRightInd w:val="0"/>
      </w:pPr>
      <w:r w:rsidRPr="00AC670A">
        <w:t>The f</w:t>
      </w:r>
      <w:r w:rsidR="00C26FF9" w:rsidRPr="00AC670A">
        <w:t>all 201</w:t>
      </w:r>
      <w:r w:rsidR="00C56B44" w:rsidRPr="00AC670A">
        <w:t>6</w:t>
      </w:r>
      <w:r w:rsidR="005445FC" w:rsidRPr="00B37413">
        <w:t>,</w:t>
      </w:r>
      <w:r w:rsidR="00CF0FD1" w:rsidRPr="00B37413">
        <w:t xml:space="preserve"> </w:t>
      </w:r>
      <w:r w:rsidR="003E4824">
        <w:t>the District</w:t>
      </w:r>
      <w:r w:rsidR="00C26FF9" w:rsidRPr="00B37413">
        <w:t xml:space="preserve"> </w:t>
      </w:r>
      <w:r w:rsidR="00CF0FD1" w:rsidRPr="00B37413">
        <w:t>credit studen</w:t>
      </w:r>
      <w:r w:rsidR="00C26FF9" w:rsidRPr="00B37413">
        <w:t>ts 18 years of age or older (</w:t>
      </w:r>
      <w:r w:rsidR="00713E4F">
        <w:t>41,048</w:t>
      </w:r>
      <w:r w:rsidR="00CF0FD1" w:rsidRPr="00B37413">
        <w:t xml:space="preserve">) represented </w:t>
      </w:r>
      <w:r w:rsidR="00713E4F">
        <w:t>5.5</w:t>
      </w:r>
      <w:r w:rsidR="00B37413" w:rsidRPr="00B37413">
        <w:t>%</w:t>
      </w:r>
      <w:r w:rsidR="00CF0FD1" w:rsidRPr="00B37413">
        <w:t xml:space="preserve"> </w:t>
      </w:r>
      <w:r w:rsidR="003E4824">
        <w:t xml:space="preserve">of the </w:t>
      </w:r>
      <w:r w:rsidR="00CF0FD1" w:rsidRPr="00B37413">
        <w:t xml:space="preserve">District adult population of </w:t>
      </w:r>
      <w:r w:rsidR="00B37413" w:rsidRPr="00B37413">
        <w:t>7</w:t>
      </w:r>
      <w:r w:rsidR="00713E4F">
        <w:t>48,928</w:t>
      </w:r>
      <w:r w:rsidR="00CF0FD1" w:rsidRPr="00B37413">
        <w:t xml:space="preserve">.  </w:t>
      </w:r>
    </w:p>
    <w:tbl>
      <w:tblPr>
        <w:tblW w:w="4620" w:type="dxa"/>
        <w:jc w:val="center"/>
        <w:tblLook w:val="04A0" w:firstRow="1" w:lastRow="0" w:firstColumn="1" w:lastColumn="0" w:noHBand="0" w:noVBand="1"/>
      </w:tblPr>
      <w:tblGrid>
        <w:gridCol w:w="2502"/>
        <w:gridCol w:w="2118"/>
      </w:tblGrid>
      <w:tr w:rsidR="00B9364B" w:rsidRPr="00B37413" w14:paraId="2F995A0B" w14:textId="77777777" w:rsidTr="00122D65">
        <w:trPr>
          <w:trHeight w:val="258"/>
          <w:jc w:val="center"/>
        </w:trPr>
        <w:tc>
          <w:tcPr>
            <w:tcW w:w="2708" w:type="pct"/>
            <w:tcBorders>
              <w:bottom w:val="single" w:sz="4" w:space="0" w:color="BFBFBF" w:themeColor="background1" w:themeShade="BF"/>
            </w:tcBorders>
            <w:shd w:val="clear" w:color="auto" w:fill="auto"/>
            <w:noWrap/>
            <w:vAlign w:val="bottom"/>
            <w:hideMark/>
          </w:tcPr>
          <w:p w14:paraId="43D97667" w14:textId="0783167E" w:rsidR="00433A86" w:rsidRPr="00B37413" w:rsidRDefault="00433A86" w:rsidP="00122D65">
            <w:pPr>
              <w:keepNext/>
              <w:jc w:val="center"/>
              <w:rPr>
                <w:rFonts w:ascii="Calibri" w:eastAsia="Times New Roman" w:hAnsi="Calibri" w:cs="Arial"/>
                <w:b/>
                <w:bCs/>
              </w:rPr>
            </w:pPr>
          </w:p>
        </w:tc>
        <w:tc>
          <w:tcPr>
            <w:tcW w:w="2292" w:type="pct"/>
            <w:tcBorders>
              <w:bottom w:val="single" w:sz="4" w:space="0" w:color="BFBFBF" w:themeColor="background1" w:themeShade="BF"/>
            </w:tcBorders>
            <w:shd w:val="clear" w:color="auto" w:fill="F2F2F2" w:themeFill="background1" w:themeFillShade="F2"/>
            <w:noWrap/>
            <w:vAlign w:val="bottom"/>
            <w:hideMark/>
          </w:tcPr>
          <w:p w14:paraId="3B678C79" w14:textId="77777777" w:rsidR="00433A86" w:rsidRPr="00B37413" w:rsidRDefault="00433A86" w:rsidP="00122D65">
            <w:pPr>
              <w:keepNext/>
              <w:jc w:val="center"/>
              <w:rPr>
                <w:rFonts w:ascii="Calibri" w:eastAsia="Times New Roman" w:hAnsi="Calibri" w:cs="Arial"/>
                <w:b/>
                <w:bCs/>
              </w:rPr>
            </w:pPr>
            <w:r w:rsidRPr="00B37413">
              <w:rPr>
                <w:rFonts w:ascii="Calibri" w:eastAsia="Times New Roman" w:hAnsi="Calibri" w:cs="Arial"/>
                <w:b/>
                <w:bCs/>
              </w:rPr>
              <w:t>%  of  District  Adult</w:t>
            </w:r>
          </w:p>
          <w:p w14:paraId="08A01B46" w14:textId="00DE1E3D" w:rsidR="00433A86" w:rsidRPr="00B37413" w:rsidRDefault="00433A86" w:rsidP="00122D65">
            <w:pPr>
              <w:keepNext/>
              <w:jc w:val="center"/>
              <w:rPr>
                <w:rFonts w:ascii="Calibri" w:eastAsia="Times New Roman" w:hAnsi="Calibri" w:cs="Arial"/>
                <w:b/>
                <w:bCs/>
              </w:rPr>
            </w:pPr>
            <w:r w:rsidRPr="00B37413">
              <w:rPr>
                <w:rFonts w:ascii="Calibri" w:eastAsia="Times New Roman" w:hAnsi="Calibri" w:cs="Arial"/>
                <w:b/>
                <w:bCs/>
              </w:rPr>
              <w:t>Population  Served</w:t>
            </w:r>
          </w:p>
        </w:tc>
      </w:tr>
      <w:tr w:rsidR="00B37413" w:rsidRPr="00B37413" w14:paraId="2B3712CD" w14:textId="77777777" w:rsidTr="00122D65">
        <w:trPr>
          <w:trHeight w:val="258"/>
          <w:jc w:val="center"/>
        </w:trPr>
        <w:tc>
          <w:tcPr>
            <w:tcW w:w="2708" w:type="pct"/>
            <w:tcBorders>
              <w:top w:val="single" w:sz="4" w:space="0" w:color="BFBFBF" w:themeColor="background1" w:themeShade="BF"/>
              <w:bottom w:val="single" w:sz="4" w:space="0" w:color="BFBFBF" w:themeColor="background1" w:themeShade="BF"/>
            </w:tcBorders>
            <w:shd w:val="clear" w:color="auto" w:fill="B8CCE4" w:themeFill="accent1" w:themeFillTint="66"/>
            <w:noWrap/>
            <w:vAlign w:val="bottom"/>
            <w:hideMark/>
          </w:tcPr>
          <w:p w14:paraId="2920193B" w14:textId="4FAB0744" w:rsidR="00433A86" w:rsidRPr="00B37413" w:rsidRDefault="00433A86" w:rsidP="00122D65">
            <w:pPr>
              <w:keepNext/>
              <w:jc w:val="center"/>
              <w:rPr>
                <w:rFonts w:ascii="Calibri" w:eastAsia="Times New Roman" w:hAnsi="Calibri" w:cs="Arial"/>
              </w:rPr>
            </w:pPr>
            <w:r w:rsidRPr="00B37413">
              <w:rPr>
                <w:rFonts w:ascii="Calibri" w:eastAsia="Times New Roman" w:hAnsi="Calibri" w:cs="Arial"/>
              </w:rPr>
              <w:t>Coastline</w:t>
            </w:r>
          </w:p>
        </w:tc>
        <w:tc>
          <w:tcPr>
            <w:tcW w:w="2292" w:type="pct"/>
            <w:tcBorders>
              <w:top w:val="single" w:sz="4" w:space="0" w:color="BFBFBF" w:themeColor="background1" w:themeShade="BF"/>
              <w:bottom w:val="single" w:sz="4" w:space="0" w:color="BFBFBF" w:themeColor="background1" w:themeShade="BF"/>
            </w:tcBorders>
            <w:shd w:val="clear" w:color="auto" w:fill="auto"/>
            <w:noWrap/>
            <w:vAlign w:val="bottom"/>
            <w:hideMark/>
          </w:tcPr>
          <w:p w14:paraId="4F74C6DF" w14:textId="1D007546" w:rsidR="00433A86" w:rsidRPr="00B37413" w:rsidRDefault="0089657C" w:rsidP="00B37413">
            <w:pPr>
              <w:keepNext/>
              <w:jc w:val="center"/>
              <w:rPr>
                <w:rFonts w:ascii="Calibri" w:eastAsia="Times New Roman" w:hAnsi="Calibri" w:cs="Arial"/>
              </w:rPr>
            </w:pPr>
            <w:r w:rsidRPr="00B37413">
              <w:rPr>
                <w:rFonts w:ascii="Calibri" w:eastAsia="Times New Roman" w:hAnsi="Calibri" w:cs="Arial"/>
              </w:rPr>
              <w:t>1</w:t>
            </w:r>
            <w:r w:rsidR="00713E4F">
              <w:rPr>
                <w:rFonts w:ascii="Calibri" w:eastAsia="Times New Roman" w:hAnsi="Calibri" w:cs="Arial"/>
              </w:rPr>
              <w:t>.4</w:t>
            </w:r>
            <w:r w:rsidR="00433A86" w:rsidRPr="00B37413">
              <w:rPr>
                <w:rFonts w:ascii="Calibri" w:eastAsia="Times New Roman" w:hAnsi="Calibri" w:cs="Arial"/>
              </w:rPr>
              <w:t>%</w:t>
            </w:r>
          </w:p>
        </w:tc>
      </w:tr>
      <w:tr w:rsidR="00B37413" w:rsidRPr="00B37413" w14:paraId="7F948464" w14:textId="77777777" w:rsidTr="00122D65">
        <w:trPr>
          <w:trHeight w:val="258"/>
          <w:jc w:val="center"/>
        </w:trPr>
        <w:tc>
          <w:tcPr>
            <w:tcW w:w="2708" w:type="pct"/>
            <w:tcBorders>
              <w:top w:val="single" w:sz="4" w:space="0" w:color="BFBFBF" w:themeColor="background1" w:themeShade="BF"/>
              <w:bottom w:val="single" w:sz="4" w:space="0" w:color="BFBFBF" w:themeColor="background1" w:themeShade="BF"/>
            </w:tcBorders>
            <w:shd w:val="clear" w:color="auto" w:fill="C2D69B" w:themeFill="accent3" w:themeFillTint="99"/>
            <w:noWrap/>
            <w:vAlign w:val="bottom"/>
            <w:hideMark/>
          </w:tcPr>
          <w:p w14:paraId="7AD90322" w14:textId="67D2C6C9" w:rsidR="00433A86" w:rsidRPr="00B37413" w:rsidRDefault="00433A86" w:rsidP="00122D65">
            <w:pPr>
              <w:keepNext/>
              <w:jc w:val="center"/>
              <w:rPr>
                <w:rFonts w:ascii="Calibri" w:eastAsia="Times New Roman" w:hAnsi="Calibri" w:cs="Arial"/>
              </w:rPr>
            </w:pPr>
            <w:r w:rsidRPr="00B37413">
              <w:rPr>
                <w:rFonts w:ascii="Calibri" w:eastAsia="Times New Roman" w:hAnsi="Calibri" w:cs="Arial"/>
              </w:rPr>
              <w:t>Golden West</w:t>
            </w:r>
          </w:p>
        </w:tc>
        <w:tc>
          <w:tcPr>
            <w:tcW w:w="2292"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25A262F" w14:textId="51FB6DBE" w:rsidR="00433A86" w:rsidRPr="00B37413" w:rsidRDefault="009453EE" w:rsidP="00B37413">
            <w:pPr>
              <w:keepNext/>
              <w:jc w:val="center"/>
              <w:rPr>
                <w:rFonts w:ascii="Calibri" w:eastAsia="Times New Roman" w:hAnsi="Calibri" w:cs="Arial"/>
              </w:rPr>
            </w:pPr>
            <w:r w:rsidRPr="00B37413">
              <w:rPr>
                <w:rFonts w:ascii="Calibri" w:eastAsia="Franklin Gothic Book" w:hAnsi="Calibri" w:cs="Arial"/>
              </w:rPr>
              <w:t>1.</w:t>
            </w:r>
            <w:r w:rsidR="00B37413" w:rsidRPr="00B37413">
              <w:rPr>
                <w:rFonts w:ascii="Calibri" w:eastAsia="Franklin Gothic Book" w:hAnsi="Calibri" w:cs="Arial"/>
              </w:rPr>
              <w:t>6</w:t>
            </w:r>
            <w:r w:rsidR="00433A86" w:rsidRPr="00B37413">
              <w:rPr>
                <w:rFonts w:ascii="Calibri" w:eastAsia="Franklin Gothic Book" w:hAnsi="Calibri" w:cs="Arial"/>
              </w:rPr>
              <w:t>%</w:t>
            </w:r>
          </w:p>
        </w:tc>
      </w:tr>
      <w:tr w:rsidR="00B9364B" w:rsidRPr="00B37413" w14:paraId="14AB5651" w14:textId="77777777" w:rsidTr="00122D65">
        <w:trPr>
          <w:trHeight w:val="258"/>
          <w:jc w:val="center"/>
        </w:trPr>
        <w:tc>
          <w:tcPr>
            <w:tcW w:w="2708" w:type="pct"/>
            <w:tcBorders>
              <w:top w:val="single" w:sz="4" w:space="0" w:color="BFBFBF" w:themeColor="background1" w:themeShade="BF"/>
              <w:bottom w:val="single" w:sz="4" w:space="0" w:color="BFBFBF" w:themeColor="background1" w:themeShade="BF"/>
            </w:tcBorders>
            <w:shd w:val="clear" w:color="auto" w:fill="FABF8F" w:themeFill="accent6" w:themeFillTint="99"/>
            <w:noWrap/>
            <w:vAlign w:val="bottom"/>
            <w:hideMark/>
          </w:tcPr>
          <w:p w14:paraId="7FA7E85C" w14:textId="43B88F28" w:rsidR="00433A86" w:rsidRPr="00B37413" w:rsidRDefault="00433A86" w:rsidP="00122D65">
            <w:pPr>
              <w:keepNext/>
              <w:jc w:val="center"/>
              <w:rPr>
                <w:rFonts w:ascii="Calibri" w:eastAsia="Times New Roman" w:hAnsi="Calibri" w:cs="Arial"/>
              </w:rPr>
            </w:pPr>
            <w:r w:rsidRPr="00B37413">
              <w:rPr>
                <w:rFonts w:ascii="Calibri" w:eastAsia="Times New Roman" w:hAnsi="Calibri" w:cs="Arial"/>
              </w:rPr>
              <w:t>Orange Coast</w:t>
            </w:r>
          </w:p>
        </w:tc>
        <w:tc>
          <w:tcPr>
            <w:tcW w:w="2292"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78A112C" w14:textId="35DCEA04" w:rsidR="00433A86" w:rsidRPr="00B37413" w:rsidRDefault="00B37413" w:rsidP="00122D65">
            <w:pPr>
              <w:keepNext/>
              <w:jc w:val="center"/>
              <w:rPr>
                <w:rFonts w:ascii="Calibri" w:eastAsia="Times New Roman" w:hAnsi="Calibri" w:cs="Arial"/>
              </w:rPr>
            </w:pPr>
            <w:r w:rsidRPr="00B37413">
              <w:rPr>
                <w:rFonts w:ascii="Calibri" w:eastAsia="Franklin Gothic Book" w:hAnsi="Calibri" w:cs="Arial"/>
              </w:rPr>
              <w:t>2.8</w:t>
            </w:r>
            <w:r w:rsidR="00433A86" w:rsidRPr="00B37413">
              <w:rPr>
                <w:rFonts w:ascii="Calibri" w:eastAsia="Franklin Gothic Book" w:hAnsi="Calibri" w:cs="Arial"/>
              </w:rPr>
              <w:t>%</w:t>
            </w:r>
          </w:p>
        </w:tc>
      </w:tr>
      <w:tr w:rsidR="00B9364B" w:rsidRPr="00B37413" w14:paraId="72A71BE6" w14:textId="77777777" w:rsidTr="00122D65">
        <w:trPr>
          <w:trHeight w:val="258"/>
          <w:jc w:val="center"/>
        </w:trPr>
        <w:tc>
          <w:tcPr>
            <w:tcW w:w="2708" w:type="pct"/>
            <w:tcBorders>
              <w:top w:val="single" w:sz="4" w:space="0" w:color="BFBFBF" w:themeColor="background1" w:themeShade="BF"/>
              <w:bottom w:val="single" w:sz="4" w:space="0" w:color="BFBFBF" w:themeColor="background1" w:themeShade="BF"/>
            </w:tcBorders>
            <w:shd w:val="clear" w:color="auto" w:fill="548DD4" w:themeFill="text2" w:themeFillTint="99"/>
            <w:noWrap/>
            <w:vAlign w:val="bottom"/>
            <w:hideMark/>
          </w:tcPr>
          <w:p w14:paraId="0C1B0C10" w14:textId="498F7E22" w:rsidR="00433A86" w:rsidRPr="00B37413" w:rsidRDefault="00433A86" w:rsidP="00122D65">
            <w:pPr>
              <w:keepNext/>
              <w:jc w:val="center"/>
              <w:rPr>
                <w:rFonts w:ascii="Calibri" w:eastAsia="Times New Roman" w:hAnsi="Calibri" w:cs="Arial"/>
              </w:rPr>
            </w:pPr>
            <w:r w:rsidRPr="00B37413">
              <w:rPr>
                <w:rFonts w:ascii="Calibri" w:eastAsia="Times New Roman" w:hAnsi="Calibri" w:cs="Arial"/>
              </w:rPr>
              <w:t>District</w:t>
            </w:r>
          </w:p>
        </w:tc>
        <w:tc>
          <w:tcPr>
            <w:tcW w:w="2292"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4AA82DB" w14:textId="4085E92B" w:rsidR="00433A86" w:rsidRPr="00B37413" w:rsidRDefault="00713E4F" w:rsidP="00122D65">
            <w:pPr>
              <w:keepNext/>
              <w:jc w:val="center"/>
              <w:rPr>
                <w:rFonts w:ascii="Calibri" w:eastAsia="Franklin Gothic Book" w:hAnsi="Calibri" w:cs="Arial"/>
              </w:rPr>
            </w:pPr>
            <w:r>
              <w:rPr>
                <w:rFonts w:ascii="Calibri" w:eastAsia="Franklin Gothic Book" w:hAnsi="Calibri" w:cs="Arial"/>
              </w:rPr>
              <w:t>5.5</w:t>
            </w:r>
            <w:r w:rsidR="00433A86" w:rsidRPr="00B37413">
              <w:rPr>
                <w:rFonts w:ascii="Calibri" w:eastAsia="Franklin Gothic Book" w:hAnsi="Calibri" w:cs="Arial"/>
              </w:rPr>
              <w:t>%</w:t>
            </w:r>
          </w:p>
        </w:tc>
      </w:tr>
    </w:tbl>
    <w:p w14:paraId="449BFE69" w14:textId="77777777" w:rsidR="00713E4F" w:rsidRDefault="00713E4F" w:rsidP="00122D65">
      <w:pPr>
        <w:keepNext/>
        <w:autoSpaceDE w:val="0"/>
        <w:autoSpaceDN w:val="0"/>
        <w:adjustRightInd w:val="0"/>
        <w:rPr>
          <w:bCs/>
          <w:sz w:val="16"/>
          <w:szCs w:val="16"/>
        </w:rPr>
      </w:pPr>
    </w:p>
    <w:p w14:paraId="0F9D5FF4" w14:textId="0112ADA3" w:rsidR="00C26FF9" w:rsidRPr="00B37413" w:rsidRDefault="00C26FF9" w:rsidP="00122D65">
      <w:pPr>
        <w:keepNext/>
        <w:autoSpaceDE w:val="0"/>
        <w:autoSpaceDN w:val="0"/>
        <w:adjustRightInd w:val="0"/>
        <w:rPr>
          <w:bCs/>
          <w:sz w:val="16"/>
          <w:szCs w:val="16"/>
        </w:rPr>
      </w:pPr>
      <w:r w:rsidRPr="00B37413">
        <w:rPr>
          <w:bCs/>
          <w:sz w:val="16"/>
          <w:szCs w:val="16"/>
        </w:rPr>
        <w:t>Source</w:t>
      </w:r>
      <w:r w:rsidR="000473A0" w:rsidRPr="00B37413">
        <w:rPr>
          <w:bCs/>
          <w:sz w:val="16"/>
          <w:szCs w:val="16"/>
        </w:rPr>
        <w:t xml:space="preserve"> Student Data</w:t>
      </w:r>
      <w:r w:rsidRPr="00B37413">
        <w:rPr>
          <w:bCs/>
          <w:sz w:val="16"/>
          <w:szCs w:val="16"/>
        </w:rPr>
        <w:t>: CCCD Student Information System</w:t>
      </w:r>
    </w:p>
    <w:p w14:paraId="0F9D5FF5" w14:textId="16605D15" w:rsidR="000473A0" w:rsidRPr="00B37413" w:rsidRDefault="000473A0" w:rsidP="00122D65">
      <w:pPr>
        <w:keepNext/>
        <w:autoSpaceDE w:val="0"/>
        <w:autoSpaceDN w:val="0"/>
        <w:adjustRightInd w:val="0"/>
        <w:rPr>
          <w:bCs/>
          <w:sz w:val="16"/>
          <w:szCs w:val="16"/>
        </w:rPr>
      </w:pPr>
      <w:r w:rsidRPr="00B37413">
        <w:rPr>
          <w:bCs/>
          <w:sz w:val="16"/>
          <w:szCs w:val="16"/>
        </w:rPr>
        <w:t xml:space="preserve">Source District Adult Population: </w:t>
      </w:r>
      <w:r w:rsidR="00B37413" w:rsidRPr="00B37413">
        <w:rPr>
          <w:bCs/>
          <w:sz w:val="16"/>
          <w:szCs w:val="16"/>
        </w:rPr>
        <w:t>CA Dept. of Edu</w:t>
      </w:r>
      <w:r w:rsidR="00713E4F">
        <w:rPr>
          <w:bCs/>
          <w:sz w:val="16"/>
          <w:szCs w:val="16"/>
        </w:rPr>
        <w:t>cation, E-1 Report, January 2016</w:t>
      </w:r>
    </w:p>
    <w:p w14:paraId="0216358E" w14:textId="77777777" w:rsidR="00262EB3" w:rsidRPr="00B9364B" w:rsidRDefault="00262EB3" w:rsidP="00C26FF9">
      <w:pPr>
        <w:autoSpaceDE w:val="0"/>
        <w:autoSpaceDN w:val="0"/>
        <w:adjustRightInd w:val="0"/>
        <w:rPr>
          <w:bCs/>
          <w:color w:val="FF0000"/>
        </w:rPr>
      </w:pPr>
    </w:p>
    <w:p w14:paraId="37E1EC9F" w14:textId="137365C1" w:rsidR="00D25A04" w:rsidRPr="00B9364B" w:rsidRDefault="00D25A04" w:rsidP="002D3B01">
      <w:pPr>
        <w:rPr>
          <w:bCs/>
          <w:color w:val="FF0000"/>
        </w:rPr>
      </w:pPr>
    </w:p>
    <w:p w14:paraId="5E3FC23D" w14:textId="77777777" w:rsidR="0049167B" w:rsidRDefault="0049167B">
      <w:pPr>
        <w:rPr>
          <w:rFonts w:asciiTheme="majorHAnsi" w:eastAsiaTheme="majorEastAsia" w:hAnsiTheme="majorHAnsi" w:cstheme="majorBidi"/>
          <w:bCs/>
          <w:color w:val="FF0000"/>
        </w:rPr>
      </w:pPr>
      <w:bookmarkStart w:id="77" w:name="_Toc341183242"/>
      <w:r>
        <w:rPr>
          <w:b/>
          <w:color w:val="FF0000"/>
        </w:rPr>
        <w:br w:type="page"/>
      </w:r>
    </w:p>
    <w:p w14:paraId="0F9D5FF7" w14:textId="00D74A08" w:rsidR="00BE6244" w:rsidRPr="00CB442D" w:rsidRDefault="00873CA9" w:rsidP="00425B43">
      <w:pPr>
        <w:pStyle w:val="Heading3"/>
        <w:spacing w:before="0"/>
        <w:rPr>
          <w:b w:val="0"/>
          <w:color w:val="auto"/>
        </w:rPr>
      </w:pPr>
      <w:bookmarkStart w:id="78" w:name="_Toc506217420"/>
      <w:r w:rsidRPr="00CB442D">
        <w:rPr>
          <w:b w:val="0"/>
          <w:color w:val="auto"/>
        </w:rPr>
        <w:lastRenderedPageBreak/>
        <w:t xml:space="preserve">Credit </w:t>
      </w:r>
      <w:r w:rsidR="002C08C5" w:rsidRPr="00CB442D">
        <w:rPr>
          <w:b w:val="0"/>
          <w:color w:val="auto"/>
        </w:rPr>
        <w:t>Student Ethnic Composition</w:t>
      </w:r>
      <w:bookmarkEnd w:id="77"/>
      <w:bookmarkEnd w:id="78"/>
      <w:r w:rsidR="002375D3" w:rsidRPr="00CB442D">
        <w:rPr>
          <w:b w:val="0"/>
          <w:color w:val="auto"/>
        </w:rPr>
        <w:t xml:space="preserve">  </w:t>
      </w:r>
    </w:p>
    <w:p w14:paraId="7A9825C9" w14:textId="2A7BBF2A" w:rsidR="00C02619" w:rsidRPr="00CB442D" w:rsidRDefault="00C02619" w:rsidP="00C02619">
      <w:pPr>
        <w:autoSpaceDE w:val="0"/>
        <w:autoSpaceDN w:val="0"/>
        <w:adjustRightInd w:val="0"/>
      </w:pPr>
      <w:r w:rsidRPr="00CB442D">
        <w:t>District-wide</w:t>
      </w:r>
      <w:r w:rsidR="009C45AF" w:rsidRPr="00CB442D">
        <w:t>,</w:t>
      </w:r>
      <w:r w:rsidRPr="00CB442D">
        <w:t xml:space="preserve"> </w:t>
      </w:r>
      <w:r w:rsidR="007769BF" w:rsidRPr="00CB442D">
        <w:t>t</w:t>
      </w:r>
      <w:r w:rsidR="000708E6" w:rsidRPr="00CB442D">
        <w:t>he percentage of Hispanic students co</w:t>
      </w:r>
      <w:r w:rsidR="007769BF" w:rsidRPr="00CB442D">
        <w:t>ntinue</w:t>
      </w:r>
      <w:r w:rsidR="00136C12">
        <w:t>d</w:t>
      </w:r>
      <w:r w:rsidR="007769BF" w:rsidRPr="00CB442D">
        <w:t xml:space="preserve"> to increase</w:t>
      </w:r>
      <w:r w:rsidR="0049167B" w:rsidRPr="00CB442D">
        <w:t xml:space="preserve"> while the percentage of Asian and White students decline</w:t>
      </w:r>
      <w:r w:rsidR="00136C12">
        <w:t>d</w:t>
      </w:r>
      <w:r w:rsidR="007769BF" w:rsidRPr="00CB442D">
        <w:t>.</w:t>
      </w:r>
      <w:r w:rsidR="002813C4" w:rsidRPr="00CB442D">
        <w:t xml:space="preserve"> </w:t>
      </w:r>
      <w:r w:rsidRPr="00CB442D">
        <w:t>Golden West and Orange Coast Colleges are qualified as a federally designated Hispanic Serving Institution.</w:t>
      </w:r>
      <w:r w:rsidR="002D3B01" w:rsidRPr="00CB442D">
        <w:t xml:space="preserve"> Coastline Community College is qualified as </w:t>
      </w:r>
      <w:r w:rsidR="00F52F1A">
        <w:t xml:space="preserve">a </w:t>
      </w:r>
      <w:r w:rsidR="002D3B01" w:rsidRPr="00CB442D">
        <w:t>federally designated Asian</w:t>
      </w:r>
      <w:r w:rsidR="0049167B" w:rsidRPr="00CB442D">
        <w:t>,</w:t>
      </w:r>
      <w:r w:rsidR="002D3B01" w:rsidRPr="00CB442D">
        <w:t xml:space="preserve"> Native American</w:t>
      </w:r>
      <w:r w:rsidR="0049167B" w:rsidRPr="00CB442D">
        <w:t>,</w:t>
      </w:r>
      <w:r w:rsidR="002D3B01" w:rsidRPr="00CB442D">
        <w:t xml:space="preserve"> Pacific Islander Serving Institution.</w:t>
      </w:r>
    </w:p>
    <w:p w14:paraId="0F9D5FFA" w14:textId="497E87AD" w:rsidR="003F6D04" w:rsidRPr="00B9364B" w:rsidRDefault="00EC76D8" w:rsidP="00425B43">
      <w:pPr>
        <w:autoSpaceDE w:val="0"/>
        <w:autoSpaceDN w:val="0"/>
        <w:adjustRightInd w:val="0"/>
        <w:jc w:val="center"/>
        <w:rPr>
          <w:bCs/>
          <w:color w:val="FF0000"/>
        </w:rPr>
      </w:pPr>
      <w:r w:rsidRPr="00B9364B">
        <w:rPr>
          <w:rFonts w:ascii="Franklin Gothic Book" w:eastAsia="Franklin Gothic Book" w:hAnsi="Franklin Gothic Book" w:cs="Times New Roman"/>
          <w:b/>
          <w:bCs/>
          <w:noProof/>
          <w:color w:val="FF0000"/>
        </w:rPr>
        <w:drawing>
          <wp:inline distT="0" distB="0" distL="0" distR="0" wp14:anchorId="1627CE2B" wp14:editId="6655F0EE">
            <wp:extent cx="6819900" cy="20193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F50E17" w14:textId="77777777" w:rsidR="00D5147A" w:rsidRPr="00B9364B" w:rsidRDefault="00D5147A" w:rsidP="0059636D">
      <w:pPr>
        <w:rPr>
          <w:color w:val="FF0000"/>
        </w:rPr>
      </w:pPr>
    </w:p>
    <w:p w14:paraId="0F9D5FFC" w14:textId="7BC7C2D7" w:rsidR="00D5147A" w:rsidRPr="00B9364B" w:rsidRDefault="00D5147A">
      <w:pPr>
        <w:rPr>
          <w:color w:val="FF0000"/>
        </w:rPr>
      </w:pPr>
    </w:p>
    <w:p w14:paraId="0F9D6006" w14:textId="77777777" w:rsidR="0096339C" w:rsidRPr="00B9364B" w:rsidRDefault="0096339C" w:rsidP="00B7064C">
      <w:pPr>
        <w:autoSpaceDE w:val="0"/>
        <w:autoSpaceDN w:val="0"/>
        <w:adjustRightInd w:val="0"/>
        <w:jc w:val="center"/>
        <w:rPr>
          <w:bCs/>
          <w:color w:val="FF0000"/>
          <w:sz w:val="20"/>
        </w:rPr>
      </w:pPr>
      <w:r w:rsidRPr="00B9364B">
        <w:rPr>
          <w:b/>
          <w:bCs/>
          <w:noProof/>
          <w:color w:val="FF0000"/>
          <w:sz w:val="20"/>
        </w:rPr>
        <w:drawing>
          <wp:inline distT="0" distB="0" distL="0" distR="0" wp14:anchorId="0F9D6178" wp14:editId="0E7D772B">
            <wp:extent cx="6753225" cy="19431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7CD63E" w14:textId="77777777" w:rsidR="00290672" w:rsidRPr="00B9364B" w:rsidRDefault="00290672" w:rsidP="0034358D">
      <w:pPr>
        <w:rPr>
          <w:color w:val="FF0000"/>
        </w:rPr>
      </w:pPr>
    </w:p>
    <w:p w14:paraId="05A4BCC8" w14:textId="2F737AE7" w:rsidR="00E2044D" w:rsidRPr="00B9364B" w:rsidRDefault="00EB1B6F" w:rsidP="0034358D">
      <w:pPr>
        <w:autoSpaceDE w:val="0"/>
        <w:autoSpaceDN w:val="0"/>
        <w:adjustRightInd w:val="0"/>
        <w:jc w:val="center"/>
        <w:rPr>
          <w:bCs/>
          <w:color w:val="FF0000"/>
          <w:sz w:val="16"/>
          <w:szCs w:val="16"/>
        </w:rPr>
      </w:pPr>
      <w:r w:rsidRPr="00B9364B">
        <w:rPr>
          <w:b/>
          <w:bCs/>
          <w:noProof/>
          <w:color w:val="FF0000"/>
          <w:sz w:val="20"/>
        </w:rPr>
        <w:drawing>
          <wp:inline distT="0" distB="0" distL="0" distR="0" wp14:anchorId="4D082E42" wp14:editId="14F9F893">
            <wp:extent cx="6819900" cy="271462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F9534E" w14:textId="77777777" w:rsidR="0034358D" w:rsidRPr="00B9364B" w:rsidRDefault="0034358D" w:rsidP="0034358D">
      <w:pPr>
        <w:autoSpaceDE w:val="0"/>
        <w:autoSpaceDN w:val="0"/>
        <w:adjustRightInd w:val="0"/>
        <w:rPr>
          <w:bCs/>
          <w:color w:val="FF0000"/>
          <w:sz w:val="16"/>
          <w:szCs w:val="16"/>
        </w:rPr>
      </w:pPr>
    </w:p>
    <w:p w14:paraId="495758B0" w14:textId="1153D610" w:rsidR="00D25A04" w:rsidRPr="0049167B" w:rsidRDefault="00523495" w:rsidP="0034358D">
      <w:pPr>
        <w:autoSpaceDE w:val="0"/>
        <w:autoSpaceDN w:val="0"/>
        <w:adjustRightInd w:val="0"/>
        <w:rPr>
          <w:bCs/>
          <w:sz w:val="16"/>
          <w:szCs w:val="16"/>
        </w:rPr>
      </w:pPr>
      <w:r w:rsidRPr="0049167B">
        <w:rPr>
          <w:bCs/>
          <w:sz w:val="16"/>
          <w:szCs w:val="16"/>
        </w:rPr>
        <w:t>Source:</w:t>
      </w:r>
      <w:r w:rsidR="000C3EAE" w:rsidRPr="0049167B">
        <w:rPr>
          <w:bCs/>
          <w:sz w:val="16"/>
          <w:szCs w:val="16"/>
        </w:rPr>
        <w:t xml:space="preserve"> </w:t>
      </w:r>
      <w:r w:rsidR="005B6261" w:rsidRPr="0049167B">
        <w:rPr>
          <w:bCs/>
          <w:sz w:val="16"/>
          <w:szCs w:val="16"/>
        </w:rPr>
        <w:t>Student Characteristics Cube</w:t>
      </w:r>
      <w:r w:rsidR="0049167B" w:rsidRPr="0049167B">
        <w:rPr>
          <w:bCs/>
          <w:sz w:val="16"/>
          <w:szCs w:val="16"/>
        </w:rPr>
        <w:t xml:space="preserve"> (IPEDS Definitions)</w:t>
      </w:r>
    </w:p>
    <w:p w14:paraId="0F9D600D" w14:textId="5D358070" w:rsidR="002C08C5" w:rsidRPr="00FF7F51" w:rsidRDefault="002C08C5" w:rsidP="0068143A">
      <w:pPr>
        <w:pStyle w:val="Heading3"/>
        <w:rPr>
          <w:b w:val="0"/>
          <w:color w:val="auto"/>
        </w:rPr>
      </w:pPr>
      <w:bookmarkStart w:id="79" w:name="_Toc341183243"/>
      <w:bookmarkStart w:id="80" w:name="_Toc506217421"/>
      <w:r w:rsidRPr="00FF7F51">
        <w:rPr>
          <w:b w:val="0"/>
          <w:color w:val="auto"/>
        </w:rPr>
        <w:lastRenderedPageBreak/>
        <w:t>Credit Gender Composition</w:t>
      </w:r>
      <w:bookmarkEnd w:id="79"/>
      <w:bookmarkEnd w:id="80"/>
    </w:p>
    <w:p w14:paraId="0F9D600E" w14:textId="0A69B629" w:rsidR="009F2E47" w:rsidRPr="00FF7F51" w:rsidRDefault="009F2E47" w:rsidP="00B7064C">
      <w:r w:rsidRPr="00FF7F51">
        <w:t xml:space="preserve">The distribution of the student population by gender has </w:t>
      </w:r>
      <w:r w:rsidR="000708E6" w:rsidRPr="00FF7F51">
        <w:t xml:space="preserve">remained relatively </w:t>
      </w:r>
      <w:r w:rsidR="00934107" w:rsidRPr="00FF7F51">
        <w:t xml:space="preserve">stable </w:t>
      </w:r>
      <w:r w:rsidR="003326E9" w:rsidRPr="00FF7F51">
        <w:t>with only slight overall changes</w:t>
      </w:r>
      <w:r w:rsidR="00FF7F51" w:rsidRPr="00FF7F51">
        <w:t xml:space="preserve"> at Golden West and Orange Coast</w:t>
      </w:r>
      <w:r w:rsidR="003326E9" w:rsidRPr="00FF7F51">
        <w:t xml:space="preserve">. </w:t>
      </w:r>
      <w:r w:rsidR="00FF7F51" w:rsidRPr="00FF7F51">
        <w:t>The gender distribution</w:t>
      </w:r>
      <w:r w:rsidR="003326E9" w:rsidRPr="00FF7F51">
        <w:t xml:space="preserve"> at Coastline</w:t>
      </w:r>
      <w:r w:rsidR="00FF7F51" w:rsidRPr="00FF7F51">
        <w:t>, however, has steadily shifted from a female majority to a male majority.</w:t>
      </w:r>
      <w:r w:rsidR="003326E9" w:rsidRPr="00FF7F51">
        <w:t xml:space="preserve"> </w:t>
      </w:r>
      <w:r w:rsidR="00FF7F51" w:rsidRPr="00FF7F51">
        <w:t>Male</w:t>
      </w:r>
      <w:r w:rsidR="00877C0B">
        <w:t xml:space="preserve"> students represented</w:t>
      </w:r>
      <w:r w:rsidR="0015463E" w:rsidRPr="00AC670A">
        <w:t xml:space="preserve"> 50% of the total in 2012</w:t>
      </w:r>
      <w:r w:rsidR="00FF7F51" w:rsidRPr="00AC670A">
        <w:t>. That</w:t>
      </w:r>
      <w:r w:rsidR="0015463E" w:rsidRPr="00AC670A">
        <w:t xml:space="preserve"> percentage is up to 58% in 2016</w:t>
      </w:r>
      <w:r w:rsidR="00FF7F51" w:rsidRPr="00AC670A">
        <w:t xml:space="preserve">. </w:t>
      </w:r>
    </w:p>
    <w:p w14:paraId="0F9D6010" w14:textId="77777777" w:rsidR="003D317F" w:rsidRPr="00FF7F51" w:rsidRDefault="003D317F" w:rsidP="00B7064C">
      <w:pPr>
        <w:autoSpaceDE w:val="0"/>
        <w:autoSpaceDN w:val="0"/>
        <w:adjustRightInd w:val="0"/>
        <w:jc w:val="center"/>
        <w:rPr>
          <w:bCs/>
          <w:sz w:val="20"/>
        </w:rPr>
      </w:pPr>
    </w:p>
    <w:p w14:paraId="1E6DCDB1" w14:textId="7550B284" w:rsidR="002C031F" w:rsidRPr="00FF7F51" w:rsidRDefault="00A26CFC" w:rsidP="002C031F">
      <w:pPr>
        <w:autoSpaceDE w:val="0"/>
        <w:autoSpaceDN w:val="0"/>
        <w:adjustRightInd w:val="0"/>
        <w:jc w:val="center"/>
        <w:rPr>
          <w:bCs/>
          <w:sz w:val="20"/>
        </w:rPr>
      </w:pPr>
      <w:r w:rsidRPr="00FF7F51">
        <w:rPr>
          <w:b/>
          <w:bCs/>
          <w:noProof/>
          <w:sz w:val="20"/>
        </w:rPr>
        <w:drawing>
          <wp:inline distT="0" distB="0" distL="0" distR="0" wp14:anchorId="33DD7215" wp14:editId="2CCCE5A9">
            <wp:extent cx="6896100" cy="210484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F9D6016" w14:textId="77777777" w:rsidR="003B5F03" w:rsidRPr="00FF7F51" w:rsidRDefault="003B5F03" w:rsidP="00B7064C">
      <w:pPr>
        <w:autoSpaceDE w:val="0"/>
        <w:autoSpaceDN w:val="0"/>
        <w:adjustRightInd w:val="0"/>
        <w:jc w:val="center"/>
        <w:rPr>
          <w:bCs/>
          <w:sz w:val="20"/>
        </w:rPr>
      </w:pPr>
    </w:p>
    <w:p w14:paraId="0F9D601A" w14:textId="6DD763A5" w:rsidR="003D317F" w:rsidRPr="00FF7F51" w:rsidRDefault="00FA0FF1" w:rsidP="00B7064C">
      <w:pPr>
        <w:autoSpaceDE w:val="0"/>
        <w:autoSpaceDN w:val="0"/>
        <w:adjustRightInd w:val="0"/>
        <w:jc w:val="center"/>
        <w:rPr>
          <w:bCs/>
          <w:sz w:val="20"/>
        </w:rPr>
      </w:pPr>
      <w:r w:rsidRPr="00FF7F51">
        <w:rPr>
          <w:bCs/>
          <w:noProof/>
          <w:sz w:val="20"/>
        </w:rPr>
        <w:drawing>
          <wp:inline distT="0" distB="0" distL="0" distR="0" wp14:anchorId="7B16A1EE" wp14:editId="6219E2C8">
            <wp:extent cx="6896100" cy="2053087"/>
            <wp:effectExtent l="0" t="0" r="0"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9D601B" w14:textId="77777777" w:rsidR="003B5F03" w:rsidRPr="00FF7F51" w:rsidRDefault="003B5F03" w:rsidP="00B7064C">
      <w:pPr>
        <w:autoSpaceDE w:val="0"/>
        <w:autoSpaceDN w:val="0"/>
        <w:adjustRightInd w:val="0"/>
        <w:jc w:val="center"/>
        <w:rPr>
          <w:bCs/>
          <w:sz w:val="20"/>
        </w:rPr>
      </w:pPr>
    </w:p>
    <w:p w14:paraId="0F9D601C" w14:textId="08633B69" w:rsidR="00FA0FF1" w:rsidRPr="00FF7F51" w:rsidRDefault="00FA0FF1">
      <w:pPr>
        <w:rPr>
          <w:bCs/>
          <w:sz w:val="20"/>
        </w:rPr>
      </w:pPr>
    </w:p>
    <w:p w14:paraId="727923DB" w14:textId="18CD18B0" w:rsidR="001617C2" w:rsidRPr="00FF7F51" w:rsidRDefault="009C349C" w:rsidP="009C349C">
      <w:pPr>
        <w:autoSpaceDE w:val="0"/>
        <w:autoSpaceDN w:val="0"/>
        <w:adjustRightInd w:val="0"/>
        <w:jc w:val="center"/>
        <w:rPr>
          <w:bCs/>
          <w:sz w:val="20"/>
          <w:szCs w:val="20"/>
        </w:rPr>
      </w:pPr>
      <w:r w:rsidRPr="00FF7F51">
        <w:rPr>
          <w:b/>
          <w:bCs/>
          <w:noProof/>
          <w:sz w:val="20"/>
        </w:rPr>
        <w:drawing>
          <wp:inline distT="0" distB="0" distL="0" distR="0" wp14:anchorId="3BEB8FB6" wp14:editId="4FA7D7CD">
            <wp:extent cx="6918960" cy="242316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614B5C" w14:textId="3820EC25" w:rsidR="009C349C" w:rsidRPr="00FF7F51" w:rsidRDefault="009C349C" w:rsidP="001617C2">
      <w:pPr>
        <w:autoSpaceDE w:val="0"/>
        <w:autoSpaceDN w:val="0"/>
        <w:adjustRightInd w:val="0"/>
        <w:rPr>
          <w:bCs/>
          <w:sz w:val="16"/>
          <w:szCs w:val="16"/>
        </w:rPr>
      </w:pPr>
    </w:p>
    <w:p w14:paraId="1A3C96C2" w14:textId="5E8C62EB" w:rsidR="007E0E9A" w:rsidRPr="00FF7F51" w:rsidRDefault="00FA26DD" w:rsidP="00E31AC1">
      <w:pPr>
        <w:rPr>
          <w:sz w:val="12"/>
          <w:szCs w:val="12"/>
        </w:rPr>
      </w:pPr>
      <w:r w:rsidRPr="0049167B">
        <w:rPr>
          <w:bCs/>
          <w:sz w:val="16"/>
          <w:szCs w:val="16"/>
        </w:rPr>
        <w:t>Source: Student Characteristics Cube</w:t>
      </w:r>
    </w:p>
    <w:p w14:paraId="44478999" w14:textId="592345A5" w:rsidR="00D07A72" w:rsidRPr="00B9364B" w:rsidRDefault="00D07A72" w:rsidP="00E31AC1">
      <w:pPr>
        <w:rPr>
          <w:color w:val="FF0000"/>
          <w:sz w:val="16"/>
          <w:szCs w:val="16"/>
        </w:rPr>
      </w:pPr>
    </w:p>
    <w:p w14:paraId="46D6A5C6" w14:textId="77777777" w:rsidR="00FA26DD" w:rsidRDefault="00FA26DD">
      <w:pPr>
        <w:rPr>
          <w:rFonts w:asciiTheme="majorHAnsi" w:eastAsiaTheme="majorEastAsia" w:hAnsiTheme="majorHAnsi" w:cstheme="majorBidi"/>
          <w:bCs/>
          <w:color w:val="FF0000"/>
        </w:rPr>
      </w:pPr>
      <w:bookmarkStart w:id="81" w:name="_Toc341183244"/>
      <w:r>
        <w:rPr>
          <w:b/>
          <w:color w:val="FF0000"/>
        </w:rPr>
        <w:br w:type="page"/>
      </w:r>
    </w:p>
    <w:p w14:paraId="0F9D6023" w14:textId="51445DFD" w:rsidR="002C08C5" w:rsidRPr="00D42B1A" w:rsidRDefault="002C08C5" w:rsidP="00E31AC1">
      <w:pPr>
        <w:pStyle w:val="Heading3"/>
        <w:spacing w:before="0"/>
        <w:rPr>
          <w:b w:val="0"/>
          <w:color w:val="auto"/>
        </w:rPr>
      </w:pPr>
      <w:bookmarkStart w:id="82" w:name="_Toc506217422"/>
      <w:r w:rsidRPr="00D42B1A">
        <w:rPr>
          <w:b w:val="0"/>
          <w:color w:val="auto"/>
        </w:rPr>
        <w:lastRenderedPageBreak/>
        <w:t xml:space="preserve">Credit </w:t>
      </w:r>
      <w:r w:rsidR="00873CA9" w:rsidRPr="00D42B1A">
        <w:rPr>
          <w:b w:val="0"/>
          <w:color w:val="auto"/>
        </w:rPr>
        <w:t xml:space="preserve">Student </w:t>
      </w:r>
      <w:r w:rsidRPr="00D42B1A">
        <w:rPr>
          <w:b w:val="0"/>
          <w:color w:val="auto"/>
        </w:rPr>
        <w:t>Age Composition</w:t>
      </w:r>
      <w:bookmarkEnd w:id="81"/>
      <w:bookmarkEnd w:id="82"/>
    </w:p>
    <w:p w14:paraId="0F9D6024" w14:textId="3F637EBD" w:rsidR="00873CA9" w:rsidRDefault="009550AD" w:rsidP="00257050">
      <w:r w:rsidRPr="00D42B1A">
        <w:t>In most cases, t</w:t>
      </w:r>
      <w:r w:rsidR="00873CA9" w:rsidRPr="00D42B1A">
        <w:t xml:space="preserve">he </w:t>
      </w:r>
      <w:r w:rsidRPr="00D42B1A">
        <w:t xml:space="preserve">age </w:t>
      </w:r>
      <w:r w:rsidR="00873CA9" w:rsidRPr="00D42B1A">
        <w:t>distribution</w:t>
      </w:r>
      <w:r w:rsidRPr="00D42B1A">
        <w:t>s</w:t>
      </w:r>
      <w:r w:rsidR="00873CA9" w:rsidRPr="00D42B1A">
        <w:t xml:space="preserve"> of the student population</w:t>
      </w:r>
      <w:r w:rsidRPr="00D42B1A">
        <w:t>s</w:t>
      </w:r>
      <w:r w:rsidR="00873CA9" w:rsidRPr="00D42B1A">
        <w:t xml:space="preserve"> ha</w:t>
      </w:r>
      <w:r w:rsidRPr="00D42B1A">
        <w:t xml:space="preserve">ve not </w:t>
      </w:r>
      <w:r w:rsidR="00873CA9" w:rsidRPr="00D42B1A">
        <w:t xml:space="preserve">changed </w:t>
      </w:r>
      <w:r w:rsidRPr="00D42B1A">
        <w:t>within</w:t>
      </w:r>
      <w:r w:rsidR="009C45AF" w:rsidRPr="00D42B1A">
        <w:t xml:space="preserve"> each college. </w:t>
      </w:r>
      <w:r w:rsidR="00E51A99" w:rsidRPr="00D42B1A">
        <w:t>Coastline</w:t>
      </w:r>
      <w:r w:rsidRPr="00D42B1A">
        <w:t>, however,</w:t>
      </w:r>
      <w:r w:rsidR="00E51A99" w:rsidRPr="00D42B1A">
        <w:t xml:space="preserve"> </w:t>
      </w:r>
      <w:r w:rsidRPr="00D42B1A">
        <w:t xml:space="preserve">did </w:t>
      </w:r>
      <w:r w:rsidR="003B276D" w:rsidRPr="00D42B1A">
        <w:t>experience a</w:t>
      </w:r>
      <w:r w:rsidRPr="00D42B1A">
        <w:t xml:space="preserve"> decrease in students 1</w:t>
      </w:r>
      <w:r w:rsidR="00F52F1A">
        <w:t xml:space="preserve">9 years or younger </w:t>
      </w:r>
      <w:r w:rsidR="00F52F1A" w:rsidRPr="00AC670A">
        <w:t>through f</w:t>
      </w:r>
      <w:r w:rsidRPr="00AC670A">
        <w:t xml:space="preserve">all 2013. </w:t>
      </w:r>
      <w:r w:rsidRPr="00D42B1A">
        <w:t xml:space="preserve">They have increased since. The Golden West age distribution is </w:t>
      </w:r>
      <w:r w:rsidR="00D42B1A" w:rsidRPr="00D42B1A">
        <w:t xml:space="preserve">trending towards a </w:t>
      </w:r>
      <w:r w:rsidR="00F52F1A">
        <w:t xml:space="preserve">slightly </w:t>
      </w:r>
      <w:r w:rsidR="00D42B1A" w:rsidRPr="00D42B1A">
        <w:t xml:space="preserve">higher percentage of students between </w:t>
      </w:r>
      <w:r w:rsidR="00F52F1A">
        <w:t xml:space="preserve">ages of 20 and 24. </w:t>
      </w:r>
      <w:r w:rsidR="00D42B1A" w:rsidRPr="00D42B1A">
        <w:t xml:space="preserve">The most noteworthy difference is between the Colleges. Golden West and Orange Coast tend to serve a higher proportion of students under the age of 24, Coastline tends to serve similar proportions across the age spectrum. </w:t>
      </w:r>
    </w:p>
    <w:p w14:paraId="6701DE57" w14:textId="77777777" w:rsidR="00CE3D1F" w:rsidRPr="00CE3D1F" w:rsidRDefault="00CE3D1F" w:rsidP="00257050">
      <w:pPr>
        <w:rPr>
          <w:sz w:val="12"/>
          <w:szCs w:val="12"/>
        </w:rPr>
      </w:pPr>
    </w:p>
    <w:p w14:paraId="0F9D6027" w14:textId="289FA89F" w:rsidR="003D317F" w:rsidRPr="00B9364B" w:rsidRDefault="00AA5519" w:rsidP="00E20B09">
      <w:pPr>
        <w:autoSpaceDE w:val="0"/>
        <w:autoSpaceDN w:val="0"/>
        <w:adjustRightInd w:val="0"/>
        <w:jc w:val="center"/>
        <w:rPr>
          <w:bCs/>
          <w:color w:val="FF0000"/>
          <w:sz w:val="20"/>
        </w:rPr>
      </w:pPr>
      <w:r w:rsidRPr="00B9364B">
        <w:rPr>
          <w:rFonts w:ascii="Calibri" w:eastAsia="Franklin Gothic Book" w:hAnsi="Calibri" w:cs="Times New Roman"/>
          <w:b/>
          <w:bCs/>
          <w:noProof/>
          <w:color w:val="FF0000"/>
          <w:sz w:val="16"/>
          <w:szCs w:val="16"/>
        </w:rPr>
        <w:drawing>
          <wp:inline distT="0" distB="0" distL="0" distR="0" wp14:anchorId="1014AF63" wp14:editId="5CFB2831">
            <wp:extent cx="6981825" cy="22669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1EBF3C" w14:textId="77777777" w:rsidR="00D07A72" w:rsidRPr="00B9364B" w:rsidRDefault="00D07A72" w:rsidP="00D07A72">
      <w:pPr>
        <w:autoSpaceDE w:val="0"/>
        <w:autoSpaceDN w:val="0"/>
        <w:adjustRightInd w:val="0"/>
        <w:rPr>
          <w:bCs/>
          <w:color w:val="FF0000"/>
          <w:sz w:val="20"/>
        </w:rPr>
      </w:pPr>
    </w:p>
    <w:p w14:paraId="0F9D6028" w14:textId="6A9B2FC5" w:rsidR="00257050" w:rsidRPr="00B9364B" w:rsidRDefault="00257050">
      <w:pPr>
        <w:rPr>
          <w:bCs/>
          <w:color w:val="FF0000"/>
          <w:sz w:val="20"/>
        </w:rPr>
      </w:pPr>
    </w:p>
    <w:p w14:paraId="0F9D602B" w14:textId="708DADFD" w:rsidR="00E7359E" w:rsidRPr="00B9364B" w:rsidRDefault="00AA5519" w:rsidP="005D31A0">
      <w:pPr>
        <w:autoSpaceDE w:val="0"/>
        <w:autoSpaceDN w:val="0"/>
        <w:adjustRightInd w:val="0"/>
        <w:jc w:val="center"/>
        <w:rPr>
          <w:bCs/>
          <w:color w:val="FF0000"/>
          <w:sz w:val="20"/>
        </w:rPr>
      </w:pPr>
      <w:r w:rsidRPr="00B9364B">
        <w:rPr>
          <w:rFonts w:ascii="Franklin Gothic Book" w:eastAsia="Franklin Gothic Book" w:hAnsi="Franklin Gothic Book" w:cs="Times New Roman"/>
          <w:b/>
          <w:bCs/>
          <w:noProof/>
          <w:color w:val="FF0000"/>
        </w:rPr>
        <w:drawing>
          <wp:inline distT="0" distB="0" distL="0" distR="0" wp14:anchorId="2967B216" wp14:editId="40C046B4">
            <wp:extent cx="6953250" cy="20097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C3B7894" w14:textId="77777777" w:rsidR="003326E9" w:rsidRPr="00B9364B" w:rsidRDefault="003326E9" w:rsidP="005D31A0">
      <w:pPr>
        <w:autoSpaceDE w:val="0"/>
        <w:autoSpaceDN w:val="0"/>
        <w:adjustRightInd w:val="0"/>
        <w:jc w:val="center"/>
        <w:rPr>
          <w:bCs/>
          <w:color w:val="FF0000"/>
          <w:sz w:val="20"/>
        </w:rPr>
      </w:pPr>
    </w:p>
    <w:p w14:paraId="6A602308" w14:textId="77777777" w:rsidR="003326E9" w:rsidRPr="00B9364B" w:rsidRDefault="003326E9" w:rsidP="003326E9">
      <w:pPr>
        <w:rPr>
          <w:bCs/>
          <w:color w:val="FF0000"/>
          <w:sz w:val="20"/>
        </w:rPr>
      </w:pPr>
    </w:p>
    <w:p w14:paraId="0F9D602D" w14:textId="2260FC6C" w:rsidR="00E7359E" w:rsidRPr="00B9364B" w:rsidRDefault="007825AB" w:rsidP="003326E9">
      <w:pPr>
        <w:rPr>
          <w:bCs/>
          <w:color w:val="FF0000"/>
          <w:sz w:val="20"/>
        </w:rPr>
      </w:pPr>
      <w:r w:rsidRPr="00B9364B">
        <w:rPr>
          <w:rFonts w:ascii="Franklin Gothic Book" w:eastAsia="Franklin Gothic Book" w:hAnsi="Franklin Gothic Book" w:cs="Times New Roman"/>
          <w:bCs/>
          <w:noProof/>
          <w:color w:val="FF0000"/>
        </w:rPr>
        <w:drawing>
          <wp:inline distT="0" distB="0" distL="0" distR="0" wp14:anchorId="0DB21D09" wp14:editId="4062AA77">
            <wp:extent cx="7134225" cy="2028825"/>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E9F9E0B" w14:textId="5AA99782" w:rsidR="001617C2" w:rsidRPr="00B9364B" w:rsidRDefault="001617C2" w:rsidP="001617C2">
      <w:pPr>
        <w:autoSpaceDE w:val="0"/>
        <w:autoSpaceDN w:val="0"/>
        <w:adjustRightInd w:val="0"/>
        <w:rPr>
          <w:color w:val="FF0000"/>
          <w:sz w:val="16"/>
          <w:szCs w:val="16"/>
        </w:rPr>
      </w:pPr>
      <w:bookmarkStart w:id="83" w:name="_Toc340554728"/>
    </w:p>
    <w:bookmarkEnd w:id="83"/>
    <w:p w14:paraId="0F9D6032" w14:textId="65F774D7" w:rsidR="005D31A0" w:rsidRPr="00B9364B" w:rsidRDefault="00FA26DD" w:rsidP="003D317F">
      <w:pPr>
        <w:autoSpaceDE w:val="0"/>
        <w:autoSpaceDN w:val="0"/>
        <w:adjustRightInd w:val="0"/>
        <w:rPr>
          <w:color w:val="FF0000"/>
          <w:sz w:val="16"/>
          <w:szCs w:val="16"/>
        </w:rPr>
      </w:pPr>
      <w:r w:rsidRPr="0049167B">
        <w:rPr>
          <w:bCs/>
          <w:sz w:val="16"/>
          <w:szCs w:val="16"/>
        </w:rPr>
        <w:t>Source: Student Characteristics Cube</w:t>
      </w:r>
    </w:p>
    <w:p w14:paraId="0E0EC3DC" w14:textId="5D7DE3E2" w:rsidR="005D22E8" w:rsidRPr="00B9364B" w:rsidRDefault="005D22E8" w:rsidP="00331EF9">
      <w:pPr>
        <w:autoSpaceDE w:val="0"/>
        <w:autoSpaceDN w:val="0"/>
        <w:adjustRightInd w:val="0"/>
        <w:rPr>
          <w:bCs/>
          <w:color w:val="FF0000"/>
        </w:rPr>
      </w:pPr>
    </w:p>
    <w:p w14:paraId="4A6CC644" w14:textId="77777777" w:rsidR="00D07A72" w:rsidRPr="00B9364B" w:rsidRDefault="00D07A72" w:rsidP="00331EF9">
      <w:pPr>
        <w:autoSpaceDE w:val="0"/>
        <w:autoSpaceDN w:val="0"/>
        <w:adjustRightInd w:val="0"/>
        <w:rPr>
          <w:bCs/>
          <w:color w:val="FF0000"/>
        </w:rPr>
      </w:pPr>
    </w:p>
    <w:p w14:paraId="46114552" w14:textId="77777777" w:rsidR="00D47642" w:rsidRPr="00B9364B" w:rsidRDefault="00D47642" w:rsidP="00331EF9">
      <w:pPr>
        <w:autoSpaceDE w:val="0"/>
        <w:autoSpaceDN w:val="0"/>
        <w:adjustRightInd w:val="0"/>
        <w:rPr>
          <w:bCs/>
          <w:color w:val="FF0000"/>
        </w:rPr>
      </w:pPr>
    </w:p>
    <w:p w14:paraId="0F9D6034" w14:textId="6095E66A" w:rsidR="002C08C5" w:rsidRPr="00FC5F16" w:rsidRDefault="002C08C5" w:rsidP="00331EF9">
      <w:pPr>
        <w:pStyle w:val="Heading3"/>
        <w:spacing w:before="0"/>
        <w:rPr>
          <w:b w:val="0"/>
          <w:color w:val="auto"/>
        </w:rPr>
      </w:pPr>
      <w:bookmarkStart w:id="84" w:name="_Toc341183245"/>
      <w:bookmarkStart w:id="85" w:name="_Toc506217423"/>
      <w:r w:rsidRPr="00FC5F16">
        <w:rPr>
          <w:b w:val="0"/>
          <w:color w:val="auto"/>
        </w:rPr>
        <w:t>Students with Disabilities</w:t>
      </w:r>
      <w:bookmarkEnd w:id="84"/>
      <w:bookmarkEnd w:id="85"/>
    </w:p>
    <w:p w14:paraId="0F9D6035" w14:textId="5F64FD8C" w:rsidR="00822A33" w:rsidRPr="00AC670A" w:rsidRDefault="00D42B1A" w:rsidP="002C08C5">
      <w:pPr>
        <w:autoSpaceDE w:val="0"/>
        <w:autoSpaceDN w:val="0"/>
        <w:adjustRightInd w:val="0"/>
      </w:pPr>
      <w:r w:rsidRPr="00AC670A">
        <w:t>T</w:t>
      </w:r>
      <w:r w:rsidR="002C08C5" w:rsidRPr="00AC670A">
        <w:t xml:space="preserve">he number of </w:t>
      </w:r>
      <w:r w:rsidR="002D61CA" w:rsidRPr="00AC670A">
        <w:t xml:space="preserve">enrolled </w:t>
      </w:r>
      <w:r w:rsidR="002C08C5" w:rsidRPr="00AC670A">
        <w:t xml:space="preserve">students with </w:t>
      </w:r>
      <w:r w:rsidR="002944F7" w:rsidRPr="00AC670A">
        <w:t xml:space="preserve">verified </w:t>
      </w:r>
      <w:r w:rsidR="002D61CA" w:rsidRPr="00AC670A">
        <w:t>disabilities has remained fairly constant on a District-wide basis.</w:t>
      </w:r>
      <w:r w:rsidRPr="00AC670A">
        <w:t xml:space="preserve"> </w:t>
      </w:r>
      <w:r w:rsidR="009C45AF" w:rsidRPr="00AC670A">
        <w:t xml:space="preserve"> </w:t>
      </w:r>
    </w:p>
    <w:p w14:paraId="09D2E249" w14:textId="53ECBBED" w:rsidR="00822A33" w:rsidRPr="00B9364B" w:rsidRDefault="00822A33">
      <w:pPr>
        <w:rPr>
          <w:color w:val="FF0000"/>
        </w:rPr>
      </w:pPr>
    </w:p>
    <w:p w14:paraId="0F9D6037" w14:textId="263E28DD" w:rsidR="003D317F" w:rsidRPr="00B9364B" w:rsidRDefault="00414B23" w:rsidP="001617C2">
      <w:pPr>
        <w:autoSpaceDE w:val="0"/>
        <w:autoSpaceDN w:val="0"/>
        <w:adjustRightInd w:val="0"/>
        <w:jc w:val="center"/>
        <w:rPr>
          <w:bCs/>
          <w:color w:val="FF0000"/>
        </w:rPr>
      </w:pPr>
      <w:r w:rsidRPr="00B9364B">
        <w:rPr>
          <w:b/>
          <w:bCs/>
          <w:noProof/>
          <w:color w:val="FF0000"/>
          <w:sz w:val="20"/>
        </w:rPr>
        <w:drawing>
          <wp:inline distT="0" distB="0" distL="0" distR="0" wp14:anchorId="492EC157" wp14:editId="5D5E20FC">
            <wp:extent cx="6946710" cy="2893325"/>
            <wp:effectExtent l="0" t="0" r="6985" b="25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82D8C0B" w14:textId="77777777" w:rsidR="00822A33" w:rsidRPr="00B9364B" w:rsidRDefault="00822A33" w:rsidP="001617C2">
      <w:pPr>
        <w:rPr>
          <w:color w:val="FF0000"/>
          <w:sz w:val="16"/>
          <w:szCs w:val="16"/>
        </w:rPr>
      </w:pPr>
      <w:bookmarkStart w:id="86" w:name="_Toc340554731"/>
    </w:p>
    <w:p w14:paraId="333CAEAE" w14:textId="22404EB7" w:rsidR="00D42B1A" w:rsidRPr="00B9364B" w:rsidRDefault="00D42B1A" w:rsidP="00D42B1A">
      <w:pPr>
        <w:autoSpaceDE w:val="0"/>
        <w:autoSpaceDN w:val="0"/>
        <w:adjustRightInd w:val="0"/>
        <w:rPr>
          <w:color w:val="FF0000"/>
          <w:sz w:val="16"/>
          <w:szCs w:val="16"/>
        </w:rPr>
      </w:pPr>
      <w:r w:rsidRPr="0049167B">
        <w:rPr>
          <w:bCs/>
          <w:sz w:val="16"/>
          <w:szCs w:val="16"/>
        </w:rPr>
        <w:t>Sour</w:t>
      </w:r>
      <w:r w:rsidR="002D61CA">
        <w:rPr>
          <w:bCs/>
          <w:sz w:val="16"/>
          <w:szCs w:val="16"/>
        </w:rPr>
        <w:t xml:space="preserve">ce: CCCCO Data Mart/ </w:t>
      </w:r>
      <w:r w:rsidR="002D61CA" w:rsidRPr="002D61CA">
        <w:rPr>
          <w:bCs/>
          <w:sz w:val="16"/>
          <w:szCs w:val="16"/>
        </w:rPr>
        <w:t>http://datamart.cccco.edu/Services/DSPS_Status.aspx</w:t>
      </w:r>
    </w:p>
    <w:p w14:paraId="1E794AE0" w14:textId="46C3DFFD" w:rsidR="001617C2" w:rsidRPr="00B9364B" w:rsidRDefault="001617C2" w:rsidP="001617C2">
      <w:pPr>
        <w:rPr>
          <w:color w:val="FF0000"/>
        </w:rPr>
      </w:pPr>
    </w:p>
    <w:p w14:paraId="0F9D6039" w14:textId="44B82DBD" w:rsidR="002C08C5" w:rsidRPr="00ED4F8C" w:rsidRDefault="002C08C5" w:rsidP="001617C2">
      <w:pPr>
        <w:pStyle w:val="Heading3"/>
        <w:spacing w:before="0"/>
        <w:rPr>
          <w:b w:val="0"/>
          <w:color w:val="auto"/>
        </w:rPr>
      </w:pPr>
      <w:bookmarkStart w:id="87" w:name="_Toc341183246"/>
      <w:bookmarkStart w:id="88" w:name="_Toc506217424"/>
      <w:r w:rsidRPr="00ED4F8C">
        <w:rPr>
          <w:b w:val="0"/>
          <w:color w:val="auto"/>
        </w:rPr>
        <w:t>Extended Opportunity Programs and Services (EOPS)</w:t>
      </w:r>
      <w:bookmarkEnd w:id="86"/>
      <w:bookmarkEnd w:id="87"/>
      <w:bookmarkEnd w:id="88"/>
      <w:r w:rsidR="00143644" w:rsidRPr="00ED4F8C">
        <w:rPr>
          <w:b w:val="0"/>
          <w:color w:val="auto"/>
        </w:rPr>
        <w:t xml:space="preserve"> </w:t>
      </w:r>
    </w:p>
    <w:p w14:paraId="0F9D603A" w14:textId="1362FFC1" w:rsidR="002C08C5" w:rsidRPr="00AC670A" w:rsidRDefault="002C08C5" w:rsidP="007657D3">
      <w:pPr>
        <w:tabs>
          <w:tab w:val="left" w:pos="1210"/>
          <w:tab w:val="left" w:pos="1982"/>
          <w:tab w:val="left" w:pos="3965"/>
          <w:tab w:val="left" w:pos="5158"/>
          <w:tab w:val="left" w:pos="6132"/>
        </w:tabs>
        <w:autoSpaceDE w:val="0"/>
        <w:autoSpaceDN w:val="0"/>
        <w:adjustRightInd w:val="0"/>
      </w:pPr>
      <w:r w:rsidRPr="00AC670A">
        <w:t xml:space="preserve">The number of EOPS </w:t>
      </w:r>
      <w:r w:rsidR="00563CEE" w:rsidRPr="00AC670A">
        <w:t>students</w:t>
      </w:r>
      <w:r w:rsidRPr="00AC670A">
        <w:t xml:space="preserve"> enrolled </w:t>
      </w:r>
      <w:r w:rsidR="00F52F1A" w:rsidRPr="00AC670A">
        <w:t>d</w:t>
      </w:r>
      <w:r w:rsidR="00ED4F8C" w:rsidRPr="00AC670A">
        <w:t>istrict-wide</w:t>
      </w:r>
      <w:r w:rsidR="00BF62D3" w:rsidRPr="00AC670A">
        <w:t xml:space="preserve"> </w:t>
      </w:r>
      <w:r w:rsidR="00037C07" w:rsidRPr="00AC670A">
        <w:t>has grown steadily from 2012-13 to 2016-17.</w:t>
      </w:r>
    </w:p>
    <w:p w14:paraId="6726F1FD" w14:textId="77777777" w:rsidR="00D47642" w:rsidRPr="00ED4F8C" w:rsidRDefault="00D47642" w:rsidP="007657D3">
      <w:pPr>
        <w:tabs>
          <w:tab w:val="left" w:pos="1210"/>
          <w:tab w:val="left" w:pos="1982"/>
          <w:tab w:val="left" w:pos="3965"/>
          <w:tab w:val="left" w:pos="5158"/>
          <w:tab w:val="left" w:pos="6132"/>
        </w:tabs>
        <w:autoSpaceDE w:val="0"/>
        <w:autoSpaceDN w:val="0"/>
        <w:adjustRightInd w:val="0"/>
      </w:pPr>
    </w:p>
    <w:p w14:paraId="0F9D603B" w14:textId="357D5551" w:rsidR="00416CA3" w:rsidRPr="00ED4F8C" w:rsidRDefault="001F1F43" w:rsidP="0078178A">
      <w:pPr>
        <w:tabs>
          <w:tab w:val="left" w:pos="1210"/>
          <w:tab w:val="left" w:pos="1982"/>
          <w:tab w:val="left" w:pos="3965"/>
          <w:tab w:val="left" w:pos="5158"/>
          <w:tab w:val="left" w:pos="6132"/>
        </w:tabs>
        <w:autoSpaceDE w:val="0"/>
        <w:autoSpaceDN w:val="0"/>
        <w:adjustRightInd w:val="0"/>
        <w:jc w:val="center"/>
      </w:pPr>
      <w:r w:rsidRPr="00ED4F8C">
        <w:rPr>
          <w:b/>
          <w:bCs/>
          <w:noProof/>
          <w:sz w:val="20"/>
        </w:rPr>
        <w:drawing>
          <wp:inline distT="0" distB="0" distL="0" distR="0" wp14:anchorId="0185DCC6" wp14:editId="3855BF6C">
            <wp:extent cx="7017385" cy="2355012"/>
            <wp:effectExtent l="0" t="0" r="0" b="762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11F03F3" w14:textId="77777777" w:rsidR="001617C2" w:rsidRPr="00ED4F8C" w:rsidRDefault="001617C2" w:rsidP="001617C2">
      <w:pPr>
        <w:rPr>
          <w:sz w:val="16"/>
          <w:szCs w:val="16"/>
        </w:rPr>
      </w:pPr>
      <w:bookmarkStart w:id="89" w:name="_Toc341183247"/>
    </w:p>
    <w:p w14:paraId="3F19C8CA" w14:textId="5D6B431D" w:rsidR="004F2602" w:rsidRPr="00ED4F8C" w:rsidRDefault="00D42B1A" w:rsidP="00D42B1A">
      <w:pPr>
        <w:autoSpaceDE w:val="0"/>
        <w:autoSpaceDN w:val="0"/>
        <w:adjustRightInd w:val="0"/>
        <w:rPr>
          <w:sz w:val="16"/>
          <w:szCs w:val="16"/>
        </w:rPr>
      </w:pPr>
      <w:r w:rsidRPr="00ED4F8C">
        <w:rPr>
          <w:bCs/>
          <w:sz w:val="16"/>
          <w:szCs w:val="16"/>
        </w:rPr>
        <w:t>Source</w:t>
      </w:r>
      <w:r w:rsidR="00DA3BFB">
        <w:rPr>
          <w:bCs/>
          <w:sz w:val="16"/>
          <w:szCs w:val="16"/>
        </w:rPr>
        <w:t xml:space="preserve">: CCCCO Data Mart/  </w:t>
      </w:r>
      <w:r w:rsidR="00DA3BFB" w:rsidRPr="00DA3BFB">
        <w:rPr>
          <w:bCs/>
          <w:sz w:val="16"/>
          <w:szCs w:val="16"/>
        </w:rPr>
        <w:t>http://datamart.cccco.edu/Services/EOPS_CARE_Status.aspx</w:t>
      </w:r>
    </w:p>
    <w:bookmarkEnd w:id="89"/>
    <w:p w14:paraId="1ACB6F21" w14:textId="77777777" w:rsidR="005B2D50" w:rsidRPr="00ED4F8C" w:rsidRDefault="005B2D50">
      <w:pPr>
        <w:rPr>
          <w:rFonts w:asciiTheme="majorHAnsi" w:eastAsiaTheme="majorEastAsia" w:hAnsiTheme="majorHAnsi" w:cstheme="majorBidi"/>
          <w:b/>
          <w:bCs/>
        </w:rPr>
      </w:pPr>
      <w:r w:rsidRPr="00ED4F8C">
        <w:br w:type="page"/>
      </w:r>
    </w:p>
    <w:p w14:paraId="17EE5C16" w14:textId="01EA765D" w:rsidR="004C58ED" w:rsidRPr="003F09A2" w:rsidRDefault="004C58ED" w:rsidP="008E3BCB">
      <w:pPr>
        <w:pStyle w:val="Heading3"/>
        <w:rPr>
          <w:color w:val="auto"/>
        </w:rPr>
      </w:pPr>
      <w:bookmarkStart w:id="90" w:name="_Toc506217425"/>
      <w:r w:rsidRPr="003F09A2">
        <w:rPr>
          <w:color w:val="auto"/>
        </w:rPr>
        <w:lastRenderedPageBreak/>
        <w:t>Economically Disadvantaged Students</w:t>
      </w:r>
      <w:bookmarkEnd w:id="90"/>
    </w:p>
    <w:p w14:paraId="7D0E6205" w14:textId="03F93B85" w:rsidR="00497218" w:rsidRPr="003F09A2" w:rsidRDefault="00FF08EE" w:rsidP="00497218">
      <w:r w:rsidRPr="00514695">
        <w:t xml:space="preserve">Overall, the number of economically disadvantaged students (defined as either in EOPS or receiving federal and/or state financial aid) increased by </w:t>
      </w:r>
      <w:r w:rsidR="008447FA" w:rsidRPr="00514695">
        <w:t>13</w:t>
      </w:r>
      <w:r w:rsidRPr="00514695">
        <w:t xml:space="preserve">% </w:t>
      </w:r>
      <w:r w:rsidR="002166C8" w:rsidRPr="00514695">
        <w:t>since 201</w:t>
      </w:r>
      <w:r w:rsidR="008447FA" w:rsidRPr="00514695">
        <w:t>2-13</w:t>
      </w:r>
      <w:r w:rsidR="003B276D" w:rsidRPr="00514695">
        <w:t>.</w:t>
      </w:r>
      <w:r w:rsidR="00497218" w:rsidRPr="00514695">
        <w:t xml:space="preserve"> </w:t>
      </w:r>
      <w:bookmarkStart w:id="91" w:name="_Toc340554735"/>
      <w:r w:rsidR="00497218" w:rsidRPr="00514695">
        <w:t>The total dollar amount of financial aid awarded by ea</w:t>
      </w:r>
      <w:r w:rsidR="00E23529" w:rsidRPr="00514695">
        <w:t xml:space="preserve">ch college has increased </w:t>
      </w:r>
      <w:r w:rsidR="003F09A2" w:rsidRPr="00514695">
        <w:t>17</w:t>
      </w:r>
      <w:r w:rsidR="00497218" w:rsidRPr="00514695">
        <w:t xml:space="preserve">% from </w:t>
      </w:r>
      <w:r w:rsidR="008447FA" w:rsidRPr="00514695">
        <w:t xml:space="preserve">just under </w:t>
      </w:r>
      <w:r w:rsidR="00497218" w:rsidRPr="00514695">
        <w:t>$</w:t>
      </w:r>
      <w:r w:rsidR="008447FA" w:rsidRPr="00514695">
        <w:t>71 million awarded in 2012</w:t>
      </w:r>
      <w:r w:rsidR="00497218" w:rsidRPr="00514695">
        <w:t>-</w:t>
      </w:r>
      <w:r w:rsidR="008447FA" w:rsidRPr="00514695">
        <w:t>13 to just over</w:t>
      </w:r>
      <w:r w:rsidR="00E23529" w:rsidRPr="00514695">
        <w:t xml:space="preserve"> $</w:t>
      </w:r>
      <w:r w:rsidR="008447FA" w:rsidRPr="00514695">
        <w:t>88</w:t>
      </w:r>
      <w:r w:rsidR="00497218" w:rsidRPr="00514695">
        <w:t xml:space="preserve"> million awarded in 201</w:t>
      </w:r>
      <w:r w:rsidR="008447FA" w:rsidRPr="00514695">
        <w:t>6</w:t>
      </w:r>
      <w:r w:rsidR="00497218" w:rsidRPr="00514695">
        <w:t>-1</w:t>
      </w:r>
      <w:r w:rsidR="008447FA" w:rsidRPr="00514695">
        <w:t>7</w:t>
      </w:r>
      <w:r w:rsidR="00497218" w:rsidRPr="00514695">
        <w:t>.</w:t>
      </w:r>
      <w:bookmarkEnd w:id="91"/>
      <w:r w:rsidR="00497218" w:rsidRPr="00514695">
        <w:t xml:space="preserve"> </w:t>
      </w:r>
      <w:r w:rsidR="00497218" w:rsidRPr="003F09A2">
        <w:t>This increase is reflective of the increase in the number of students who applied and qualified for financial aid as well as changes in federal regulations that increased the level of income that allows students to qualify for Pell grants.</w:t>
      </w:r>
    </w:p>
    <w:p w14:paraId="0F9D6040" w14:textId="6C11AC5D" w:rsidR="00FF08EE" w:rsidRPr="003F09A2" w:rsidRDefault="00FF08EE" w:rsidP="00FF08EE">
      <w:pPr>
        <w:autoSpaceDE w:val="0"/>
        <w:autoSpaceDN w:val="0"/>
        <w:adjustRightInd w:val="0"/>
      </w:pPr>
    </w:p>
    <w:p w14:paraId="32D5642D" w14:textId="0416EBE4" w:rsidR="00CA3FBE" w:rsidRPr="003F09A2" w:rsidRDefault="00CA3FBE" w:rsidP="00FF08EE">
      <w:pPr>
        <w:autoSpaceDE w:val="0"/>
        <w:autoSpaceDN w:val="0"/>
        <w:adjustRightInd w:val="0"/>
      </w:pPr>
    </w:p>
    <w:p w14:paraId="2EB3DCF1" w14:textId="0598DA18" w:rsidR="001617C2" w:rsidRPr="003F09A2" w:rsidRDefault="00881D28" w:rsidP="0078178A">
      <w:pPr>
        <w:autoSpaceDE w:val="0"/>
        <w:autoSpaceDN w:val="0"/>
        <w:adjustRightInd w:val="0"/>
        <w:jc w:val="center"/>
      </w:pPr>
      <w:r w:rsidRPr="003F09A2">
        <w:rPr>
          <w:rFonts w:ascii="Calibri" w:hAnsi="Calibri"/>
          <w:b/>
          <w:bCs/>
          <w:noProof/>
          <w:sz w:val="16"/>
          <w:szCs w:val="16"/>
        </w:rPr>
        <w:drawing>
          <wp:inline distT="0" distB="0" distL="0" distR="0" wp14:anchorId="7E930922" wp14:editId="1683FFBE">
            <wp:extent cx="7019925" cy="2819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20EFB7" w14:textId="77777777" w:rsidR="00881D28" w:rsidRPr="003F09A2" w:rsidRDefault="00881D28" w:rsidP="00881D28">
      <w:pPr>
        <w:autoSpaceDE w:val="0"/>
        <w:autoSpaceDN w:val="0"/>
        <w:adjustRightInd w:val="0"/>
        <w:rPr>
          <w:sz w:val="16"/>
          <w:szCs w:val="16"/>
        </w:rPr>
      </w:pPr>
    </w:p>
    <w:p w14:paraId="13D61244" w14:textId="77777777" w:rsidR="00CE7142" w:rsidRPr="003F09A2" w:rsidRDefault="00CE7142" w:rsidP="00CE7142">
      <w:pPr>
        <w:rPr>
          <w:sz w:val="16"/>
          <w:szCs w:val="16"/>
        </w:rPr>
      </w:pPr>
      <w:r w:rsidRPr="003F09A2">
        <w:rPr>
          <w:sz w:val="16"/>
          <w:szCs w:val="16"/>
        </w:rPr>
        <w:t xml:space="preserve">Source: CCCCO Data Mart </w:t>
      </w:r>
    </w:p>
    <w:p w14:paraId="1BB03CB8" w14:textId="1820EB97" w:rsidR="00881D28" w:rsidRPr="003F09A2" w:rsidRDefault="00881D28" w:rsidP="00881D28">
      <w:pPr>
        <w:autoSpaceDE w:val="0"/>
        <w:autoSpaceDN w:val="0"/>
        <w:adjustRightInd w:val="0"/>
        <w:rPr>
          <w:sz w:val="16"/>
          <w:szCs w:val="16"/>
        </w:rPr>
      </w:pPr>
    </w:p>
    <w:p w14:paraId="2BA607A3" w14:textId="77777777" w:rsidR="006D00C2" w:rsidRPr="003F09A2" w:rsidRDefault="006D00C2" w:rsidP="00881D28">
      <w:pPr>
        <w:autoSpaceDE w:val="0"/>
        <w:autoSpaceDN w:val="0"/>
        <w:adjustRightInd w:val="0"/>
        <w:rPr>
          <w:sz w:val="16"/>
          <w:szCs w:val="16"/>
        </w:rPr>
      </w:pPr>
    </w:p>
    <w:p w14:paraId="1B7FB522" w14:textId="77777777" w:rsidR="006D00C2" w:rsidRPr="003F09A2" w:rsidRDefault="006D00C2" w:rsidP="00881D28">
      <w:pPr>
        <w:autoSpaceDE w:val="0"/>
        <w:autoSpaceDN w:val="0"/>
        <w:adjustRightInd w:val="0"/>
        <w:rPr>
          <w:sz w:val="16"/>
          <w:szCs w:val="16"/>
        </w:rPr>
      </w:pPr>
    </w:p>
    <w:p w14:paraId="0F9D6046" w14:textId="346AF835" w:rsidR="00CF4998" w:rsidRPr="003F09A2" w:rsidRDefault="00F806E9" w:rsidP="00881D28">
      <w:pPr>
        <w:pStyle w:val="Heading3"/>
        <w:spacing w:before="0"/>
        <w:rPr>
          <w:b w:val="0"/>
          <w:color w:val="auto"/>
        </w:rPr>
      </w:pPr>
      <w:bookmarkStart w:id="92" w:name="_Toc341183248"/>
      <w:bookmarkStart w:id="93" w:name="_Toc506217426"/>
      <w:r w:rsidRPr="003F09A2">
        <w:rPr>
          <w:b w:val="0"/>
          <w:color w:val="auto"/>
        </w:rPr>
        <w:t>Financial Aid Awards</w:t>
      </w:r>
      <w:bookmarkEnd w:id="92"/>
      <w:bookmarkEnd w:id="93"/>
    </w:p>
    <w:p w14:paraId="174C3F71" w14:textId="77777777" w:rsidR="00CA3FBE" w:rsidRPr="003F09A2" w:rsidRDefault="00CA3FBE" w:rsidP="001617C2"/>
    <w:p w14:paraId="1A5521D1" w14:textId="63156307" w:rsidR="001617C2" w:rsidRPr="00B9364B" w:rsidRDefault="006D00C2" w:rsidP="00D410FC">
      <w:pPr>
        <w:autoSpaceDE w:val="0"/>
        <w:autoSpaceDN w:val="0"/>
        <w:adjustRightInd w:val="0"/>
        <w:jc w:val="center"/>
        <w:rPr>
          <w:bCs/>
          <w:color w:val="FF0000"/>
          <w:sz w:val="20"/>
        </w:rPr>
      </w:pPr>
      <w:r w:rsidRPr="00B9364B">
        <w:rPr>
          <w:b/>
          <w:bCs/>
          <w:noProof/>
          <w:color w:val="FF0000"/>
          <w:sz w:val="20"/>
        </w:rPr>
        <w:lastRenderedPageBreak/>
        <w:drawing>
          <wp:inline distT="0" distB="0" distL="0" distR="0" wp14:anchorId="5F0ED930" wp14:editId="5B612163">
            <wp:extent cx="6858000" cy="3000375"/>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EFF20E6" w14:textId="77777777" w:rsidR="001617C2" w:rsidRPr="00B9364B" w:rsidRDefault="001617C2" w:rsidP="001617C2">
      <w:pPr>
        <w:rPr>
          <w:color w:val="FF0000"/>
          <w:sz w:val="16"/>
          <w:szCs w:val="16"/>
        </w:rPr>
      </w:pPr>
      <w:bookmarkStart w:id="94" w:name="_Toc340554736"/>
    </w:p>
    <w:p w14:paraId="0F9D604A" w14:textId="77777777" w:rsidR="00CF4998" w:rsidRPr="003F09A2" w:rsidRDefault="00CF4998" w:rsidP="006D00C2">
      <w:pPr>
        <w:rPr>
          <w:sz w:val="16"/>
          <w:szCs w:val="16"/>
        </w:rPr>
      </w:pPr>
      <w:r w:rsidRPr="003F09A2">
        <w:rPr>
          <w:sz w:val="16"/>
          <w:szCs w:val="16"/>
        </w:rPr>
        <w:t>Source: CCCCO</w:t>
      </w:r>
      <w:bookmarkEnd w:id="94"/>
      <w:r w:rsidR="00445D8D" w:rsidRPr="003F09A2">
        <w:rPr>
          <w:sz w:val="16"/>
          <w:szCs w:val="16"/>
        </w:rPr>
        <w:t xml:space="preserve"> Data Mart</w:t>
      </w:r>
    </w:p>
    <w:p w14:paraId="6710CF10" w14:textId="77777777" w:rsidR="005E0D7B" w:rsidRPr="00B9364B" w:rsidRDefault="005E0D7B" w:rsidP="006D00C2">
      <w:pPr>
        <w:rPr>
          <w:color w:val="FF0000"/>
          <w:sz w:val="16"/>
          <w:szCs w:val="16"/>
        </w:rPr>
      </w:pPr>
    </w:p>
    <w:p w14:paraId="0F9D604B" w14:textId="6161120C" w:rsidR="007657D3" w:rsidRPr="006D7C07" w:rsidRDefault="007657D3" w:rsidP="006D00C2">
      <w:pPr>
        <w:pStyle w:val="Heading3"/>
        <w:spacing w:before="0"/>
        <w:rPr>
          <w:b w:val="0"/>
          <w:color w:val="auto"/>
        </w:rPr>
      </w:pPr>
      <w:bookmarkStart w:id="95" w:name="_Toc341183249"/>
      <w:bookmarkStart w:id="96" w:name="_Toc506217427"/>
      <w:r w:rsidRPr="006D7C07">
        <w:rPr>
          <w:b w:val="0"/>
          <w:color w:val="auto"/>
        </w:rPr>
        <w:t>International Students</w:t>
      </w:r>
      <w:bookmarkEnd w:id="95"/>
      <w:bookmarkEnd w:id="96"/>
      <w:r w:rsidRPr="006D7C07">
        <w:rPr>
          <w:b w:val="0"/>
          <w:color w:val="auto"/>
        </w:rPr>
        <w:t xml:space="preserve"> </w:t>
      </w:r>
    </w:p>
    <w:p w14:paraId="0F9D604C" w14:textId="5D3EA9BA" w:rsidR="007657D3" w:rsidRPr="00514695" w:rsidRDefault="007657D3" w:rsidP="007657D3">
      <w:pPr>
        <w:tabs>
          <w:tab w:val="left" w:pos="1210"/>
          <w:tab w:val="left" w:pos="1982"/>
          <w:tab w:val="left" w:pos="3965"/>
          <w:tab w:val="left" w:pos="5158"/>
          <w:tab w:val="left" w:pos="6132"/>
        </w:tabs>
        <w:autoSpaceDE w:val="0"/>
        <w:autoSpaceDN w:val="0"/>
        <w:adjustRightInd w:val="0"/>
      </w:pPr>
      <w:r w:rsidRPr="006D7C07">
        <w:t xml:space="preserve">The number of international students attending </w:t>
      </w:r>
      <w:r w:rsidR="00CC5D49" w:rsidRPr="006D7C07">
        <w:t xml:space="preserve">the </w:t>
      </w:r>
      <w:r w:rsidR="006F3FF8" w:rsidRPr="006D7C07">
        <w:t>colleges</w:t>
      </w:r>
      <w:r w:rsidR="00892392" w:rsidRPr="006D7C07">
        <w:t xml:space="preserve"> </w:t>
      </w:r>
      <w:r w:rsidR="002134AF" w:rsidRPr="006D7C07">
        <w:t xml:space="preserve">continues to </w:t>
      </w:r>
      <w:r w:rsidR="00892392" w:rsidRPr="006D7C07">
        <w:t>increase</w:t>
      </w:r>
      <w:r w:rsidR="0082637A">
        <w:t xml:space="preserve"> to a new high of </w:t>
      </w:r>
      <w:r w:rsidR="0082637A" w:rsidRPr="00514695">
        <w:t>1,5</w:t>
      </w:r>
      <w:r w:rsidR="00835D61" w:rsidRPr="00514695">
        <w:t>3</w:t>
      </w:r>
      <w:r w:rsidR="0082637A" w:rsidRPr="00514695">
        <w:t>7 in fall 2016</w:t>
      </w:r>
      <w:r w:rsidR="00892392" w:rsidRPr="00514695">
        <w:t xml:space="preserve">. </w:t>
      </w:r>
      <w:r w:rsidR="00675FD1" w:rsidRPr="00514695">
        <w:t xml:space="preserve">District-wide, </w:t>
      </w:r>
      <w:r w:rsidR="00BC499F" w:rsidRPr="00514695">
        <w:t xml:space="preserve">international students </w:t>
      </w:r>
      <w:r w:rsidR="00892392" w:rsidRPr="00514695">
        <w:t>account for 3</w:t>
      </w:r>
      <w:r w:rsidR="00D87ACB" w:rsidRPr="00514695">
        <w:t>.</w:t>
      </w:r>
      <w:r w:rsidR="00835D61" w:rsidRPr="00514695">
        <w:t>4</w:t>
      </w:r>
      <w:r w:rsidR="00675FD1" w:rsidRPr="00514695">
        <w:t>% of the total student headcount. At Orange Coast th</w:t>
      </w:r>
      <w:r w:rsidR="00892392" w:rsidRPr="00514695">
        <w:t xml:space="preserve">at percentage </w:t>
      </w:r>
      <w:r w:rsidR="006D7C07" w:rsidRPr="00514695">
        <w:t xml:space="preserve">is at </w:t>
      </w:r>
      <w:r w:rsidR="00D87ACB" w:rsidRPr="00514695">
        <w:t>5.2</w:t>
      </w:r>
      <w:r w:rsidR="00675FD1" w:rsidRPr="00514695">
        <w:t xml:space="preserve">%. Golden West </w:t>
      </w:r>
      <w:r w:rsidR="006D7C07" w:rsidRPr="00514695">
        <w:t>r</w:t>
      </w:r>
      <w:r w:rsidR="00F52F1A" w:rsidRPr="00514695">
        <w:t>ose</w:t>
      </w:r>
      <w:r w:rsidR="006D7C07" w:rsidRPr="00514695">
        <w:t xml:space="preserve"> to</w:t>
      </w:r>
      <w:r w:rsidR="00675FD1" w:rsidRPr="00514695">
        <w:t xml:space="preserve"> 2</w:t>
      </w:r>
      <w:r w:rsidR="00D87ACB" w:rsidRPr="00514695">
        <w:t>.</w:t>
      </w:r>
      <w:r w:rsidR="00835D61" w:rsidRPr="00514695">
        <w:t>5</w:t>
      </w:r>
      <w:r w:rsidR="00675FD1" w:rsidRPr="00514695">
        <w:t>%</w:t>
      </w:r>
      <w:r w:rsidR="00F52F1A" w:rsidRPr="00514695">
        <w:t>. I</w:t>
      </w:r>
      <w:r w:rsidR="00675FD1" w:rsidRPr="00514695">
        <w:t>nternatio</w:t>
      </w:r>
      <w:r w:rsidR="00892392" w:rsidRPr="00514695">
        <w:t>nal students represent</w:t>
      </w:r>
      <w:r w:rsidR="00F52F1A" w:rsidRPr="00514695">
        <w:t>ed</w:t>
      </w:r>
      <w:r w:rsidR="00675FD1" w:rsidRPr="00514695">
        <w:t xml:space="preserve"> 1% of the total headcount at Coastline.</w:t>
      </w:r>
      <w:r w:rsidR="00AB461F" w:rsidRPr="00514695">
        <w:t xml:space="preserve"> </w:t>
      </w:r>
    </w:p>
    <w:p w14:paraId="18700E05" w14:textId="0D408EED" w:rsidR="00CA3FBE" w:rsidRPr="00B9364B" w:rsidRDefault="00CA3FBE" w:rsidP="007657D3">
      <w:pPr>
        <w:tabs>
          <w:tab w:val="left" w:pos="1210"/>
          <w:tab w:val="left" w:pos="1982"/>
          <w:tab w:val="left" w:pos="3965"/>
          <w:tab w:val="left" w:pos="5158"/>
          <w:tab w:val="left" w:pos="6132"/>
        </w:tabs>
        <w:autoSpaceDE w:val="0"/>
        <w:autoSpaceDN w:val="0"/>
        <w:adjustRightInd w:val="0"/>
        <w:rPr>
          <w:color w:val="FF0000"/>
        </w:rPr>
      </w:pPr>
    </w:p>
    <w:p w14:paraId="565875F9" w14:textId="6CEE3DDD" w:rsidR="009B4DAC" w:rsidRPr="00B9364B" w:rsidRDefault="009B4DAC" w:rsidP="0078178A">
      <w:pPr>
        <w:autoSpaceDE w:val="0"/>
        <w:autoSpaceDN w:val="0"/>
        <w:adjustRightInd w:val="0"/>
        <w:jc w:val="center"/>
        <w:rPr>
          <w:bCs/>
          <w:color w:val="FF0000"/>
          <w:sz w:val="20"/>
        </w:rPr>
      </w:pPr>
      <w:r w:rsidRPr="00B9364B">
        <w:rPr>
          <w:b/>
          <w:bCs/>
          <w:noProof/>
          <w:color w:val="FF0000"/>
        </w:rPr>
        <w:drawing>
          <wp:inline distT="0" distB="0" distL="0" distR="0" wp14:anchorId="0AC84132" wp14:editId="3E860205">
            <wp:extent cx="6953250" cy="29432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D6A013" w14:textId="1C8212C2" w:rsidR="00CA3FBE" w:rsidRPr="002134AF" w:rsidRDefault="00A96510" w:rsidP="00814F0C">
      <w:pPr>
        <w:autoSpaceDE w:val="0"/>
        <w:autoSpaceDN w:val="0"/>
        <w:adjustRightInd w:val="0"/>
        <w:rPr>
          <w:sz w:val="16"/>
          <w:szCs w:val="16"/>
        </w:rPr>
      </w:pPr>
      <w:r w:rsidRPr="002134AF">
        <w:rPr>
          <w:sz w:val="16"/>
          <w:szCs w:val="16"/>
        </w:rPr>
        <w:t>Source:</w:t>
      </w:r>
      <w:r w:rsidR="0082637A">
        <w:rPr>
          <w:sz w:val="16"/>
          <w:szCs w:val="16"/>
        </w:rPr>
        <w:t xml:space="preserve"> </w:t>
      </w:r>
      <w:r w:rsidR="0082637A" w:rsidRPr="006D7C07">
        <w:rPr>
          <w:sz w:val="16"/>
          <w:szCs w:val="16"/>
        </w:rPr>
        <w:t>Student Characteristics Cube</w:t>
      </w:r>
    </w:p>
    <w:p w14:paraId="67FF8B7F" w14:textId="77777777" w:rsidR="002134AF" w:rsidRPr="00B9364B" w:rsidRDefault="002134AF" w:rsidP="00814F0C">
      <w:pPr>
        <w:autoSpaceDE w:val="0"/>
        <w:autoSpaceDN w:val="0"/>
        <w:adjustRightInd w:val="0"/>
        <w:rPr>
          <w:bCs/>
          <w:color w:val="FF0000"/>
          <w:sz w:val="20"/>
        </w:rPr>
      </w:pPr>
    </w:p>
    <w:p w14:paraId="25A405D1" w14:textId="3F2B3DAD" w:rsidR="00814F0C" w:rsidRPr="00B9364B" w:rsidRDefault="009B4DAC" w:rsidP="0078178A">
      <w:pPr>
        <w:jc w:val="center"/>
        <w:rPr>
          <w:color w:val="FF0000"/>
        </w:rPr>
      </w:pPr>
      <w:bookmarkStart w:id="97" w:name="_Toc340554739"/>
      <w:r w:rsidRPr="00B9364B">
        <w:rPr>
          <w:b/>
          <w:bCs/>
          <w:noProof/>
          <w:color w:val="FF0000"/>
        </w:rPr>
        <w:lastRenderedPageBreak/>
        <w:drawing>
          <wp:inline distT="0" distB="0" distL="0" distR="0" wp14:anchorId="0483F40E" wp14:editId="2DB2BDB8">
            <wp:extent cx="6886575" cy="288607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3F03F13" w14:textId="77777777" w:rsidR="009B4DAC" w:rsidRPr="00B9364B" w:rsidRDefault="009B4DAC" w:rsidP="00814F0C">
      <w:pPr>
        <w:rPr>
          <w:color w:val="FF0000"/>
          <w:sz w:val="16"/>
          <w:szCs w:val="16"/>
        </w:rPr>
      </w:pPr>
    </w:p>
    <w:p w14:paraId="0F9D6053" w14:textId="4F3EF5AF" w:rsidR="00144BC0" w:rsidRPr="006D7C07" w:rsidRDefault="00144BC0" w:rsidP="00814F0C">
      <w:pPr>
        <w:rPr>
          <w:sz w:val="16"/>
          <w:szCs w:val="16"/>
        </w:rPr>
      </w:pPr>
      <w:r w:rsidRPr="006D7C07">
        <w:rPr>
          <w:sz w:val="16"/>
          <w:szCs w:val="16"/>
        </w:rPr>
        <w:t xml:space="preserve">Source: </w:t>
      </w:r>
      <w:bookmarkEnd w:id="97"/>
      <w:r w:rsidR="006D7C07" w:rsidRPr="006D7C07">
        <w:rPr>
          <w:sz w:val="16"/>
          <w:szCs w:val="16"/>
        </w:rPr>
        <w:t>Student Characteristics Cube</w:t>
      </w:r>
    </w:p>
    <w:p w14:paraId="1AB2C107" w14:textId="77777777" w:rsidR="009B4DAC" w:rsidRPr="00B9364B" w:rsidRDefault="009B4DAC" w:rsidP="00814F0C">
      <w:pPr>
        <w:rPr>
          <w:color w:val="FF0000"/>
          <w:sz w:val="16"/>
          <w:szCs w:val="16"/>
        </w:rPr>
      </w:pPr>
    </w:p>
    <w:p w14:paraId="56A3EEC7" w14:textId="3D3CD683" w:rsidR="009B4DAC" w:rsidRPr="00B9364B" w:rsidRDefault="009B4DAC">
      <w:pPr>
        <w:rPr>
          <w:color w:val="FF0000"/>
          <w:sz w:val="16"/>
          <w:szCs w:val="16"/>
        </w:rPr>
      </w:pPr>
      <w:r w:rsidRPr="00B9364B">
        <w:rPr>
          <w:color w:val="FF0000"/>
          <w:sz w:val="16"/>
          <w:szCs w:val="16"/>
        </w:rPr>
        <w:br w:type="page"/>
      </w:r>
    </w:p>
    <w:p w14:paraId="0F9D6054" w14:textId="23D464C3" w:rsidR="007657D3" w:rsidRPr="001B016C" w:rsidRDefault="007657D3" w:rsidP="00814F0C">
      <w:pPr>
        <w:pStyle w:val="Heading3"/>
        <w:spacing w:before="0"/>
        <w:rPr>
          <w:b w:val="0"/>
          <w:color w:val="auto"/>
        </w:rPr>
      </w:pPr>
      <w:bookmarkStart w:id="98" w:name="_Toc341183250"/>
      <w:bookmarkStart w:id="99" w:name="_Toc506217428"/>
      <w:r w:rsidRPr="001B016C">
        <w:rPr>
          <w:b w:val="0"/>
          <w:color w:val="auto"/>
        </w:rPr>
        <w:lastRenderedPageBreak/>
        <w:t>Out-of-</w:t>
      </w:r>
      <w:r w:rsidR="005404A2" w:rsidRPr="001B016C">
        <w:rPr>
          <w:b w:val="0"/>
          <w:color w:val="auto"/>
        </w:rPr>
        <w:t xml:space="preserve">State </w:t>
      </w:r>
      <w:r w:rsidRPr="001B016C">
        <w:rPr>
          <w:b w:val="0"/>
          <w:color w:val="auto"/>
        </w:rPr>
        <w:t>State Students</w:t>
      </w:r>
      <w:bookmarkEnd w:id="98"/>
      <w:bookmarkEnd w:id="99"/>
    </w:p>
    <w:p w14:paraId="0F9D6056" w14:textId="3DD25517" w:rsidR="008B0402" w:rsidRPr="00514695" w:rsidRDefault="007657D3" w:rsidP="009B4DAC">
      <w:pPr>
        <w:autoSpaceDE w:val="0"/>
        <w:autoSpaceDN w:val="0"/>
        <w:adjustRightInd w:val="0"/>
      </w:pPr>
      <w:r w:rsidRPr="00514695">
        <w:t>The numb</w:t>
      </w:r>
      <w:r w:rsidR="00F52F1A" w:rsidRPr="00514695">
        <w:t xml:space="preserve">er of out-of-state </w:t>
      </w:r>
      <w:r w:rsidR="00BD67ED">
        <w:t>students</w:t>
      </w:r>
      <w:r w:rsidR="00AC5DE3" w:rsidRPr="00514695">
        <w:t xml:space="preserve"> district-wide</w:t>
      </w:r>
      <w:r w:rsidR="00F52F1A" w:rsidRPr="00514695">
        <w:t xml:space="preserve"> </w:t>
      </w:r>
      <w:r w:rsidR="001B016C" w:rsidRPr="00514695">
        <w:t>increased each of</w:t>
      </w:r>
      <w:r w:rsidRPr="00514695">
        <w:t xml:space="preserve"> the past </w:t>
      </w:r>
      <w:r w:rsidR="001B016C" w:rsidRPr="00514695">
        <w:t>f</w:t>
      </w:r>
      <w:r w:rsidR="003D7CA6" w:rsidRPr="00514695">
        <w:t>ive</w:t>
      </w:r>
      <w:r w:rsidR="001B016C" w:rsidRPr="00514695">
        <w:t xml:space="preserve"> </w:t>
      </w:r>
      <w:r w:rsidRPr="00514695">
        <w:t>years</w:t>
      </w:r>
      <w:r w:rsidR="00AC5DE3" w:rsidRPr="00514695">
        <w:t>.</w:t>
      </w:r>
    </w:p>
    <w:p w14:paraId="3017BA68" w14:textId="4C70A3E0" w:rsidR="00351E10" w:rsidRPr="00B9364B" w:rsidRDefault="00351E10" w:rsidP="009B4DAC">
      <w:pPr>
        <w:autoSpaceDE w:val="0"/>
        <w:autoSpaceDN w:val="0"/>
        <w:adjustRightInd w:val="0"/>
        <w:rPr>
          <w:color w:val="FF0000"/>
        </w:rPr>
      </w:pPr>
    </w:p>
    <w:p w14:paraId="0F9D6058" w14:textId="7785F485" w:rsidR="006F65CC" w:rsidRPr="00B9364B" w:rsidRDefault="006C2A4D" w:rsidP="007657D3">
      <w:pPr>
        <w:autoSpaceDE w:val="0"/>
        <w:autoSpaceDN w:val="0"/>
        <w:adjustRightInd w:val="0"/>
        <w:jc w:val="center"/>
        <w:rPr>
          <w:bCs/>
          <w:color w:val="FF0000"/>
        </w:rPr>
      </w:pPr>
      <w:r w:rsidRPr="00B9364B">
        <w:rPr>
          <w:b/>
          <w:bCs/>
          <w:noProof/>
          <w:color w:val="FF0000"/>
        </w:rPr>
        <w:drawing>
          <wp:inline distT="0" distB="0" distL="0" distR="0" wp14:anchorId="42E008D7" wp14:editId="3F852B38">
            <wp:extent cx="6953250" cy="288607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AE77A2" w14:textId="77777777" w:rsidR="00351E10" w:rsidRPr="00B9364B" w:rsidRDefault="00351E10" w:rsidP="00814F0C">
      <w:pPr>
        <w:rPr>
          <w:color w:val="FF0000"/>
          <w:sz w:val="16"/>
          <w:szCs w:val="16"/>
        </w:rPr>
      </w:pPr>
      <w:bookmarkStart w:id="100" w:name="_Toc340554741"/>
    </w:p>
    <w:p w14:paraId="0F9D6059" w14:textId="77777777" w:rsidR="00144BC0" w:rsidRPr="001B016C" w:rsidRDefault="00A225F6" w:rsidP="00814F0C">
      <w:pPr>
        <w:rPr>
          <w:sz w:val="16"/>
          <w:szCs w:val="16"/>
        </w:rPr>
      </w:pPr>
      <w:r w:rsidRPr="001B016C">
        <w:rPr>
          <w:sz w:val="16"/>
          <w:szCs w:val="16"/>
        </w:rPr>
        <w:t>Source: CCCD Student Information System</w:t>
      </w:r>
      <w:bookmarkEnd w:id="100"/>
      <w:r w:rsidRPr="001B016C">
        <w:rPr>
          <w:sz w:val="16"/>
          <w:szCs w:val="16"/>
        </w:rPr>
        <w:t xml:space="preserve"> </w:t>
      </w:r>
    </w:p>
    <w:p w14:paraId="2C141551" w14:textId="77777777" w:rsidR="009B4DAC" w:rsidRPr="00B9364B" w:rsidRDefault="009B4DAC" w:rsidP="006C2A4D">
      <w:pPr>
        <w:rPr>
          <w:color w:val="FF0000"/>
        </w:rPr>
      </w:pPr>
    </w:p>
    <w:p w14:paraId="7F53B858" w14:textId="77777777" w:rsidR="0031738B" w:rsidRPr="00B9364B" w:rsidRDefault="0031738B" w:rsidP="006C2A4D">
      <w:pPr>
        <w:rPr>
          <w:color w:val="FF0000"/>
        </w:rPr>
      </w:pPr>
    </w:p>
    <w:p w14:paraId="287F598E" w14:textId="50115EEF" w:rsidR="009B3651" w:rsidRPr="00B9364B" w:rsidRDefault="0031738B" w:rsidP="009B3651">
      <w:pPr>
        <w:jc w:val="center"/>
        <w:rPr>
          <w:b/>
          <w:bCs/>
          <w:color w:val="FF0000"/>
          <w:sz w:val="20"/>
        </w:rPr>
      </w:pPr>
      <w:r w:rsidRPr="00B9364B">
        <w:rPr>
          <w:b/>
          <w:bCs/>
          <w:noProof/>
          <w:color w:val="FF0000"/>
        </w:rPr>
        <w:drawing>
          <wp:inline distT="0" distB="0" distL="0" distR="0" wp14:anchorId="3BF8F03E" wp14:editId="0FB40BE1">
            <wp:extent cx="6953250" cy="29337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F03F81" w14:textId="77777777" w:rsidR="00814F0C" w:rsidRPr="00B9364B" w:rsidRDefault="00814F0C" w:rsidP="00814F0C">
      <w:pPr>
        <w:rPr>
          <w:color w:val="FF0000"/>
          <w:sz w:val="16"/>
          <w:szCs w:val="16"/>
        </w:rPr>
      </w:pPr>
      <w:bookmarkStart w:id="101" w:name="_Toc340554742"/>
    </w:p>
    <w:p w14:paraId="0F9D605C" w14:textId="77777777" w:rsidR="00144BC0" w:rsidRPr="001B016C" w:rsidRDefault="00144BC0" w:rsidP="00814F0C">
      <w:pPr>
        <w:rPr>
          <w:sz w:val="16"/>
          <w:szCs w:val="16"/>
        </w:rPr>
      </w:pPr>
      <w:r w:rsidRPr="001B016C">
        <w:rPr>
          <w:sz w:val="16"/>
          <w:szCs w:val="16"/>
        </w:rPr>
        <w:t>Source: CCCD Student Information System</w:t>
      </w:r>
      <w:bookmarkEnd w:id="101"/>
    </w:p>
    <w:p w14:paraId="29113505" w14:textId="142BCFA5" w:rsidR="00262EB3" w:rsidRPr="00B9364B" w:rsidRDefault="00262EB3" w:rsidP="00814F0C">
      <w:pPr>
        <w:rPr>
          <w:color w:val="FF0000"/>
          <w:sz w:val="20"/>
          <w:szCs w:val="20"/>
        </w:rPr>
      </w:pPr>
      <w:r w:rsidRPr="00B9364B">
        <w:rPr>
          <w:color w:val="FF0000"/>
          <w:sz w:val="20"/>
          <w:szCs w:val="20"/>
        </w:rPr>
        <w:br w:type="page"/>
      </w:r>
    </w:p>
    <w:p w14:paraId="0F9D605D" w14:textId="374475B7" w:rsidR="006F12EA" w:rsidRPr="00F52F1A" w:rsidRDefault="006F12EA" w:rsidP="00075EB6">
      <w:pPr>
        <w:pStyle w:val="Heading2"/>
        <w:spacing w:before="0"/>
        <w:rPr>
          <w:rFonts w:asciiTheme="minorHAnsi" w:hAnsiTheme="minorHAnsi"/>
          <w:color w:val="auto"/>
          <w:sz w:val="22"/>
          <w:szCs w:val="22"/>
        </w:rPr>
      </w:pPr>
      <w:bookmarkStart w:id="102" w:name="_Toc506217429"/>
      <w:r w:rsidRPr="00F52F1A">
        <w:rPr>
          <w:rFonts w:asciiTheme="minorHAnsi" w:hAnsiTheme="minorHAnsi"/>
          <w:color w:val="auto"/>
          <w:sz w:val="22"/>
          <w:szCs w:val="22"/>
        </w:rPr>
        <w:lastRenderedPageBreak/>
        <w:t>Action</w:t>
      </w:r>
      <w:r w:rsidR="00E565DF" w:rsidRPr="00F52F1A">
        <w:rPr>
          <w:rFonts w:asciiTheme="minorHAnsi" w:hAnsiTheme="minorHAnsi"/>
          <w:color w:val="auto"/>
          <w:sz w:val="22"/>
          <w:szCs w:val="22"/>
        </w:rPr>
        <w:t>s</w:t>
      </w:r>
      <w:r w:rsidRPr="00F52F1A">
        <w:rPr>
          <w:rFonts w:asciiTheme="minorHAnsi" w:hAnsiTheme="minorHAnsi"/>
          <w:color w:val="auto"/>
          <w:sz w:val="22"/>
          <w:szCs w:val="22"/>
        </w:rPr>
        <w:t xml:space="preserve"> in the Area of Student Outreach and Re</w:t>
      </w:r>
      <w:r w:rsidR="006C6323" w:rsidRPr="00F52F1A">
        <w:rPr>
          <w:rFonts w:asciiTheme="minorHAnsi" w:hAnsiTheme="minorHAnsi"/>
          <w:color w:val="auto"/>
          <w:sz w:val="22"/>
          <w:szCs w:val="22"/>
        </w:rPr>
        <w:t>s</w:t>
      </w:r>
      <w:r w:rsidRPr="00F52F1A">
        <w:rPr>
          <w:rFonts w:asciiTheme="minorHAnsi" w:hAnsiTheme="minorHAnsi"/>
          <w:color w:val="auto"/>
          <w:sz w:val="22"/>
          <w:szCs w:val="22"/>
        </w:rPr>
        <w:t>ponsiveness to the Community</w:t>
      </w:r>
      <w:bookmarkEnd w:id="102"/>
    </w:p>
    <w:p w14:paraId="184A5A9F" w14:textId="77777777" w:rsidR="00075EB6" w:rsidRPr="00F52F1A" w:rsidRDefault="00075EB6" w:rsidP="00850F27"/>
    <w:p w14:paraId="0F9D605E" w14:textId="563D2A3A" w:rsidR="00850F27" w:rsidRPr="00F52F1A" w:rsidRDefault="00C71EEA" w:rsidP="00850F27">
      <w:r w:rsidRPr="00F52F1A">
        <w:t>All three colleges offer a variety of student support services and conduct outreach and marketing activities to inform and serve potential and current students.</w:t>
      </w:r>
      <w:r w:rsidR="00850F27" w:rsidRPr="00F52F1A">
        <w:t xml:space="preserve"> By tracking and ana</w:t>
      </w:r>
      <w:r w:rsidR="00483DB6">
        <w:t>lyzing demographic trends, the C</w:t>
      </w:r>
      <w:r w:rsidR="00850F27" w:rsidRPr="00F52F1A">
        <w:t>olleges</w:t>
      </w:r>
      <w:r w:rsidR="00483DB6">
        <w:t xml:space="preserve"> and the District Office</w:t>
      </w:r>
      <w:r w:rsidR="00850F27" w:rsidRPr="00F52F1A">
        <w:t xml:space="preserve"> determine students’ educational needs and develop programs to meet these ne</w:t>
      </w:r>
      <w:r w:rsidR="00483DB6">
        <w:t>eds. This data has enabled the C</w:t>
      </w:r>
      <w:r w:rsidR="00850F27" w:rsidRPr="00F52F1A">
        <w:t>olleges</w:t>
      </w:r>
      <w:r w:rsidR="00483DB6">
        <w:t xml:space="preserve"> and the District Office</w:t>
      </w:r>
      <w:r w:rsidR="00850F27" w:rsidRPr="00F52F1A">
        <w:t xml:space="preserve"> to allocate the appropriate resources to a variety of programs consistent with students’ educational preparation and the diversity, demographics, and economy of the college’s surrounding communities. The following support programs rely on demographic and outcome data, primarily through program review, to meet the needs of students:</w:t>
      </w:r>
    </w:p>
    <w:p w14:paraId="0F9D605F" w14:textId="77777777" w:rsidR="00850F27" w:rsidRPr="00F52F1A" w:rsidRDefault="00850F27" w:rsidP="00850F27">
      <w:pPr>
        <w:pStyle w:val="ListParagraph"/>
        <w:numPr>
          <w:ilvl w:val="0"/>
          <w:numId w:val="13"/>
        </w:numPr>
        <w:rPr>
          <w:color w:val="auto"/>
          <w:sz w:val="22"/>
        </w:rPr>
      </w:pPr>
      <w:r w:rsidRPr="00F52F1A">
        <w:rPr>
          <w:color w:val="auto"/>
          <w:sz w:val="22"/>
        </w:rPr>
        <w:t>The Assessment Center</w:t>
      </w:r>
      <w:r w:rsidR="00D97C13" w:rsidRPr="00F52F1A">
        <w:rPr>
          <w:color w:val="auto"/>
          <w:sz w:val="22"/>
        </w:rPr>
        <w:t>s at all three colleges</w:t>
      </w:r>
      <w:r w:rsidRPr="00F52F1A">
        <w:rPr>
          <w:color w:val="auto"/>
          <w:sz w:val="22"/>
        </w:rPr>
        <w:t xml:space="preserve"> identif</w:t>
      </w:r>
      <w:r w:rsidR="00D97C13" w:rsidRPr="00F52F1A">
        <w:rPr>
          <w:color w:val="auto"/>
          <w:sz w:val="22"/>
        </w:rPr>
        <w:t>y</w:t>
      </w:r>
      <w:r w:rsidRPr="00F52F1A">
        <w:rPr>
          <w:color w:val="auto"/>
          <w:sz w:val="22"/>
        </w:rPr>
        <w:t xml:space="preserve"> student learning needs and places students in classes based on their incoming Math and English skills.</w:t>
      </w:r>
    </w:p>
    <w:p w14:paraId="0F9D6060" w14:textId="77777777" w:rsidR="00850F27" w:rsidRPr="00F52F1A" w:rsidRDefault="00850F27" w:rsidP="00850F27">
      <w:pPr>
        <w:pStyle w:val="ListParagraph"/>
        <w:numPr>
          <w:ilvl w:val="0"/>
          <w:numId w:val="13"/>
        </w:numPr>
        <w:rPr>
          <w:color w:val="auto"/>
          <w:sz w:val="22"/>
        </w:rPr>
      </w:pPr>
      <w:r w:rsidRPr="00F52F1A">
        <w:rPr>
          <w:color w:val="auto"/>
          <w:sz w:val="22"/>
        </w:rPr>
        <w:t>The Children’s Centers (Golden West College and Orange Coast College only) provide support to student-parents and their families.</w:t>
      </w:r>
    </w:p>
    <w:p w14:paraId="0F9D6061" w14:textId="77777777" w:rsidR="00850F27" w:rsidRPr="00F52F1A" w:rsidRDefault="00850F27" w:rsidP="00850F27">
      <w:pPr>
        <w:pStyle w:val="ListParagraph"/>
        <w:numPr>
          <w:ilvl w:val="0"/>
          <w:numId w:val="13"/>
        </w:numPr>
        <w:rPr>
          <w:color w:val="auto"/>
          <w:sz w:val="22"/>
        </w:rPr>
      </w:pPr>
      <w:r w:rsidRPr="00F52F1A">
        <w:rPr>
          <w:color w:val="auto"/>
          <w:sz w:val="22"/>
        </w:rPr>
        <w:t>Counseling Services offers a number of services to help a wide array of students identify and achieve their academic goals.</w:t>
      </w:r>
    </w:p>
    <w:p w14:paraId="0F9D6062" w14:textId="77777777" w:rsidR="00850F27" w:rsidRPr="00F52F1A" w:rsidRDefault="00850F27" w:rsidP="00850F27">
      <w:pPr>
        <w:pStyle w:val="ListParagraph"/>
        <w:numPr>
          <w:ilvl w:val="0"/>
          <w:numId w:val="13"/>
        </w:numPr>
        <w:rPr>
          <w:color w:val="auto"/>
          <w:sz w:val="22"/>
        </w:rPr>
      </w:pPr>
      <w:r w:rsidRPr="00F52F1A">
        <w:rPr>
          <w:color w:val="auto"/>
          <w:sz w:val="22"/>
        </w:rPr>
        <w:t>EOPS aids students burdened with economic and academic barriers in achieving success in college.</w:t>
      </w:r>
    </w:p>
    <w:p w14:paraId="0F9D6063" w14:textId="5CCE51DD" w:rsidR="00850F27" w:rsidRPr="00F52F1A" w:rsidRDefault="00850F27" w:rsidP="00850F27">
      <w:pPr>
        <w:pStyle w:val="ListParagraph"/>
        <w:numPr>
          <w:ilvl w:val="0"/>
          <w:numId w:val="13"/>
        </w:numPr>
        <w:rPr>
          <w:color w:val="auto"/>
          <w:sz w:val="22"/>
        </w:rPr>
      </w:pPr>
      <w:r w:rsidRPr="00F52F1A">
        <w:rPr>
          <w:color w:val="auto"/>
          <w:sz w:val="22"/>
        </w:rPr>
        <w:t>The International Center</w:t>
      </w:r>
      <w:r w:rsidR="00037269" w:rsidRPr="00F52F1A">
        <w:rPr>
          <w:color w:val="auto"/>
          <w:sz w:val="22"/>
        </w:rPr>
        <w:t>s</w:t>
      </w:r>
      <w:r w:rsidRPr="00F52F1A">
        <w:rPr>
          <w:color w:val="auto"/>
          <w:sz w:val="22"/>
        </w:rPr>
        <w:t xml:space="preserve"> </w:t>
      </w:r>
      <w:r w:rsidR="00037269" w:rsidRPr="00F52F1A">
        <w:rPr>
          <w:color w:val="auto"/>
          <w:sz w:val="22"/>
        </w:rPr>
        <w:t xml:space="preserve">(Golden West College and Orange Coast College only) </w:t>
      </w:r>
      <w:r w:rsidRPr="00F52F1A">
        <w:rPr>
          <w:color w:val="auto"/>
          <w:sz w:val="22"/>
        </w:rPr>
        <w:t>assist interna</w:t>
      </w:r>
      <w:r w:rsidR="0065224E" w:rsidRPr="00F52F1A">
        <w:rPr>
          <w:color w:val="auto"/>
          <w:sz w:val="22"/>
        </w:rPr>
        <w:t xml:space="preserve">tional students transitioning </w:t>
      </w:r>
      <w:r w:rsidRPr="00F52F1A">
        <w:rPr>
          <w:color w:val="auto"/>
          <w:sz w:val="22"/>
        </w:rPr>
        <w:t>into academic and social life in the U.S.</w:t>
      </w:r>
    </w:p>
    <w:p w14:paraId="0F9D6064" w14:textId="77777777" w:rsidR="00850F27" w:rsidRPr="00F52F1A" w:rsidRDefault="00850F27" w:rsidP="00850F27">
      <w:pPr>
        <w:pStyle w:val="ListParagraph"/>
        <w:numPr>
          <w:ilvl w:val="0"/>
          <w:numId w:val="13"/>
        </w:numPr>
        <w:rPr>
          <w:color w:val="auto"/>
          <w:sz w:val="22"/>
        </w:rPr>
      </w:pPr>
      <w:r w:rsidRPr="00F52F1A">
        <w:rPr>
          <w:color w:val="auto"/>
          <w:sz w:val="22"/>
        </w:rPr>
        <w:t>The Puente Program helps at-risk students navigate through two consecutive English courses and college in general, by providing counseling and mentoring.</w:t>
      </w:r>
    </w:p>
    <w:p w14:paraId="0F9D6065" w14:textId="77777777" w:rsidR="00850F27" w:rsidRPr="00F52F1A" w:rsidRDefault="00850F27" w:rsidP="00850F27">
      <w:pPr>
        <w:pStyle w:val="ListParagraph"/>
        <w:numPr>
          <w:ilvl w:val="0"/>
          <w:numId w:val="13"/>
        </w:numPr>
        <w:rPr>
          <w:color w:val="auto"/>
          <w:sz w:val="22"/>
        </w:rPr>
      </w:pPr>
      <w:r w:rsidRPr="00F52F1A">
        <w:rPr>
          <w:color w:val="auto"/>
          <w:sz w:val="22"/>
        </w:rPr>
        <w:t>Special Student Services identifies the needs of disabled students, providing specialized counseling, registration assistance, equipment, test proctoring and many other services.</w:t>
      </w:r>
    </w:p>
    <w:p w14:paraId="0F9D6066" w14:textId="77777777" w:rsidR="00850F27" w:rsidRPr="00F52F1A" w:rsidRDefault="00850F27" w:rsidP="00850F27">
      <w:pPr>
        <w:pStyle w:val="ListParagraph"/>
        <w:numPr>
          <w:ilvl w:val="0"/>
          <w:numId w:val="13"/>
        </w:numPr>
        <w:rPr>
          <w:color w:val="auto"/>
          <w:sz w:val="22"/>
        </w:rPr>
      </w:pPr>
      <w:r w:rsidRPr="00F52F1A">
        <w:rPr>
          <w:color w:val="auto"/>
          <w:sz w:val="22"/>
        </w:rPr>
        <w:t xml:space="preserve">The Transfer Center offers transfer-oriented workshops designed to facilitate successful transfer to a four-year institution, as well </w:t>
      </w:r>
      <w:r w:rsidRPr="00F52F1A">
        <w:rPr>
          <w:color w:val="auto"/>
          <w:sz w:val="22"/>
        </w:rPr>
        <w:lastRenderedPageBreak/>
        <w:t>as individual consultations with four-year university representatives.</w:t>
      </w:r>
    </w:p>
    <w:p w14:paraId="0F9D6067" w14:textId="77777777" w:rsidR="00850F27" w:rsidRPr="00F52F1A" w:rsidRDefault="00850F27" w:rsidP="00850F27">
      <w:pPr>
        <w:pStyle w:val="ListParagraph"/>
        <w:numPr>
          <w:ilvl w:val="0"/>
          <w:numId w:val="13"/>
        </w:numPr>
        <w:rPr>
          <w:color w:val="auto"/>
          <w:sz w:val="22"/>
        </w:rPr>
      </w:pPr>
      <w:r w:rsidRPr="00F52F1A">
        <w:rPr>
          <w:color w:val="auto"/>
          <w:sz w:val="22"/>
        </w:rPr>
        <w:t>Veterans Services assists reservists, members of the armed services, veterans, and spouses or dependents of veterans, with the goal of assisting students in acquiring G.I. education benefits while pursuing educational goals.</w:t>
      </w:r>
    </w:p>
    <w:p w14:paraId="0F9D6068" w14:textId="77777777" w:rsidR="00850F27" w:rsidRPr="00F52F1A" w:rsidRDefault="00850F27" w:rsidP="00850F27">
      <w:pPr>
        <w:pStyle w:val="ListParagraph"/>
        <w:numPr>
          <w:ilvl w:val="0"/>
          <w:numId w:val="13"/>
        </w:numPr>
        <w:rPr>
          <w:color w:val="auto"/>
          <w:sz w:val="22"/>
        </w:rPr>
      </w:pPr>
      <w:r w:rsidRPr="00F52F1A">
        <w:rPr>
          <w:color w:val="auto"/>
          <w:sz w:val="22"/>
        </w:rPr>
        <w:t>The Associate Students program is robust, providing opportunities for students to be involved in civics and leadership.</w:t>
      </w:r>
    </w:p>
    <w:p w14:paraId="1C833FCE" w14:textId="77777777" w:rsidR="007019F4" w:rsidRDefault="007019F4" w:rsidP="00BD67ED">
      <w:r w:rsidRPr="00D6615B">
        <w:t>The Associated Students of Orange Coast College (ASOCC) program is the umbrella organization for three wings: Leadership and Governance, College Life and Co-Curricular Programs, and Fiscal Affairs. Each wing works closely together to provide a holistic student development experience for OCC students. The ASOCC program promotes student learning and achievement through leadership development, civic engagement, service to the campus community, and the practical application of life skills. ASOCC encompasses over 60 student leader positions and over 65 clubs on campus. Through participation in one of the many ASOCC programs, students gain a range of skills, from leadership to financial management, to political advocacy.</w:t>
      </w:r>
    </w:p>
    <w:p w14:paraId="49173549" w14:textId="77777777" w:rsidR="00BD67ED" w:rsidRPr="00D6615B" w:rsidRDefault="00BD67ED" w:rsidP="00BD67ED"/>
    <w:p w14:paraId="72338951" w14:textId="77777777" w:rsidR="007019F4" w:rsidRDefault="007019F4" w:rsidP="00BD67ED">
      <w:pPr>
        <w:autoSpaceDE w:val="0"/>
        <w:autoSpaceDN w:val="0"/>
        <w:adjustRightInd w:val="0"/>
      </w:pPr>
      <w:r>
        <w:t>Data from the c</w:t>
      </w:r>
      <w:r w:rsidRPr="00D6615B">
        <w:t xml:space="preserve">ollege’s current equity plan indicates </w:t>
      </w:r>
      <w:r>
        <w:t>disproportionate impact for Hawaiian/Pacific Islander students for access, Hispanic students for transfer, and African American and Hispanic students for probation status</w:t>
      </w:r>
      <w:r w:rsidRPr="00D6615B">
        <w:t xml:space="preserve">. Although access remains a priority, the college is shifting its focus to access with success whereby students are </w:t>
      </w:r>
      <w:r w:rsidRPr="00D6615B">
        <w:rPr>
          <w:rFonts w:cs="TimesNewRomanPS"/>
        </w:rPr>
        <w:t>given the tools and guidance to successfully complete their educational goals regardless of their entering skill levels.</w:t>
      </w:r>
      <w:r w:rsidRPr="00D6615B">
        <w:t xml:space="preserve"> A number of pilot programs have been developed and funded through the Student Equity an</w:t>
      </w:r>
      <w:r>
        <w:t>d SSSP plans. For example, the c</w:t>
      </w:r>
      <w:r w:rsidRPr="00D6615B">
        <w:t xml:space="preserve">ollege is developing a web-based equity dashboard to bolster on demand student data and trends to facilitate faculty, staff and managers assisting prospective and current student needs more proactively. </w:t>
      </w:r>
    </w:p>
    <w:p w14:paraId="3E27CD34" w14:textId="77777777" w:rsidR="007019F4" w:rsidRPr="00D6615B" w:rsidRDefault="007019F4" w:rsidP="00BD67ED">
      <w:r w:rsidRPr="00D6615B">
        <w:t>Through Orange Coast College’s planning processes, the following success initiatives and strategies are also in process:</w:t>
      </w:r>
    </w:p>
    <w:p w14:paraId="17F82992" w14:textId="77777777" w:rsidR="007019F4" w:rsidRPr="00D6615B" w:rsidRDefault="007019F4" w:rsidP="00BD67ED">
      <w:pPr>
        <w:pStyle w:val="ListParagraph"/>
        <w:numPr>
          <w:ilvl w:val="0"/>
          <w:numId w:val="7"/>
        </w:numPr>
        <w:spacing w:after="0"/>
        <w:ind w:left="720"/>
        <w:rPr>
          <w:color w:val="auto"/>
          <w:sz w:val="22"/>
        </w:rPr>
      </w:pPr>
      <w:r w:rsidRPr="00D6615B">
        <w:rPr>
          <w:color w:val="auto"/>
          <w:sz w:val="22"/>
        </w:rPr>
        <w:lastRenderedPageBreak/>
        <w:t>Counseling support: Addition of lead counselors for International, and Allied Health students through the evaluation of student needs in program review.</w:t>
      </w:r>
    </w:p>
    <w:p w14:paraId="265F8C2D" w14:textId="77777777" w:rsidR="007019F4" w:rsidRPr="00D6615B" w:rsidRDefault="007019F4" w:rsidP="00BD67ED">
      <w:pPr>
        <w:pStyle w:val="ListParagraph"/>
        <w:numPr>
          <w:ilvl w:val="0"/>
          <w:numId w:val="7"/>
        </w:numPr>
        <w:spacing w:after="0"/>
        <w:ind w:left="720"/>
        <w:rPr>
          <w:color w:val="auto"/>
          <w:sz w:val="22"/>
        </w:rPr>
      </w:pPr>
      <w:r w:rsidRPr="00D6615B">
        <w:rPr>
          <w:color w:val="auto"/>
          <w:sz w:val="22"/>
        </w:rPr>
        <w:t xml:space="preserve">Veteran support: Additional support for veterans through the Vet Net Ally program. The purpose of the program is to establish a visible network of Allies—trustworthy, knowledgeable, and sensitive people—who can support the success of services members in a safe environment, as well as educate the campus community about the needs and concerns of service members. Currently, there are </w:t>
      </w:r>
      <w:r>
        <w:rPr>
          <w:color w:val="auto"/>
          <w:sz w:val="22"/>
        </w:rPr>
        <w:t xml:space="preserve">over </w:t>
      </w:r>
      <w:r w:rsidRPr="00D6615B">
        <w:rPr>
          <w:color w:val="auto"/>
          <w:sz w:val="22"/>
        </w:rPr>
        <w:t>10</w:t>
      </w:r>
      <w:r>
        <w:rPr>
          <w:color w:val="auto"/>
          <w:sz w:val="22"/>
        </w:rPr>
        <w:t>0</w:t>
      </w:r>
      <w:r w:rsidRPr="00D6615B">
        <w:rPr>
          <w:color w:val="auto"/>
          <w:sz w:val="22"/>
        </w:rPr>
        <w:t xml:space="preserve"> faculty, staff and managers certified as Vet Net Allies. Training is offered annually to train additional employees.</w:t>
      </w:r>
    </w:p>
    <w:p w14:paraId="3A914E6C" w14:textId="77777777" w:rsidR="007019F4" w:rsidRPr="00D6615B" w:rsidRDefault="007019F4" w:rsidP="00BD67ED">
      <w:pPr>
        <w:pStyle w:val="ListParagraph"/>
        <w:numPr>
          <w:ilvl w:val="0"/>
          <w:numId w:val="7"/>
        </w:numPr>
        <w:spacing w:after="0"/>
        <w:ind w:left="720"/>
        <w:rPr>
          <w:color w:val="auto"/>
          <w:sz w:val="22"/>
        </w:rPr>
      </w:pPr>
      <w:r w:rsidRPr="00D6615B">
        <w:rPr>
          <w:color w:val="auto"/>
          <w:sz w:val="22"/>
        </w:rPr>
        <w:t xml:space="preserve">Systems support: Implementation of Infomagnus dashboards aimed at providing enrollment information and to promptly detect students who may face problems to succeed, increase meaningful engagement, and provide additional resources to make informed decisions. </w:t>
      </w:r>
    </w:p>
    <w:p w14:paraId="737A6849" w14:textId="77777777" w:rsidR="007019F4" w:rsidRPr="00D6615B" w:rsidRDefault="007019F4" w:rsidP="00BD67ED">
      <w:pPr>
        <w:pStyle w:val="ListParagraph"/>
        <w:numPr>
          <w:ilvl w:val="0"/>
          <w:numId w:val="7"/>
        </w:numPr>
        <w:spacing w:after="0"/>
        <w:ind w:left="720"/>
        <w:rPr>
          <w:color w:val="auto"/>
          <w:sz w:val="22"/>
        </w:rPr>
      </w:pPr>
      <w:r w:rsidRPr="00D6615B">
        <w:rPr>
          <w:color w:val="auto"/>
          <w:sz w:val="22"/>
        </w:rPr>
        <w:t xml:space="preserve">Outreach expansion: Integrating and expanding numerous outreach and marketing functions within the College Advancement department. Examples include strengthening and expanding our student peer outreach program, the Coast Navigators, and training and hiring OCC students as Equity Ambassadors to assist with outreach efforts including college living experience workshops at our feeder high schools, parent information sessions, and campus tours. </w:t>
      </w:r>
    </w:p>
    <w:p w14:paraId="39FFBDAB" w14:textId="77777777" w:rsidR="007019F4" w:rsidRPr="00D6615B" w:rsidRDefault="007019F4" w:rsidP="00BD67ED">
      <w:pPr>
        <w:pStyle w:val="ListParagraph"/>
        <w:numPr>
          <w:ilvl w:val="0"/>
          <w:numId w:val="7"/>
        </w:numPr>
        <w:spacing w:after="0"/>
        <w:ind w:left="720"/>
        <w:rPr>
          <w:color w:val="auto"/>
          <w:sz w:val="22"/>
        </w:rPr>
      </w:pPr>
      <w:r w:rsidRPr="00D6615B">
        <w:rPr>
          <w:color w:val="auto"/>
          <w:sz w:val="22"/>
        </w:rPr>
        <w:t xml:space="preserve">Community support: Supporting programs that provide community access to specialized programs and services. Examples include sailing programs to underrepresented students through the Sailing Center and summer programs for children through Community Education. Also “skills builder” students who complete higher-level CTE courses, but do not transfer or receive awards. OCC skills builder students showed </w:t>
      </w:r>
      <w:r>
        <w:rPr>
          <w:color w:val="auto"/>
          <w:sz w:val="22"/>
        </w:rPr>
        <w:t>22.4%</w:t>
      </w:r>
      <w:r w:rsidRPr="00D6615B">
        <w:rPr>
          <w:color w:val="auto"/>
          <w:sz w:val="22"/>
        </w:rPr>
        <w:t xml:space="preserve"> wage gains; </w:t>
      </w:r>
      <w:r>
        <w:rPr>
          <w:color w:val="auto"/>
          <w:sz w:val="22"/>
        </w:rPr>
        <w:t>on par with</w:t>
      </w:r>
      <w:r w:rsidRPr="00D6615B">
        <w:rPr>
          <w:color w:val="auto"/>
          <w:sz w:val="22"/>
        </w:rPr>
        <w:t xml:space="preserve"> the statewide rates of </w:t>
      </w:r>
      <w:r>
        <w:rPr>
          <w:color w:val="auto"/>
          <w:sz w:val="22"/>
        </w:rPr>
        <w:t>22.6%</w:t>
      </w:r>
      <w:r w:rsidRPr="00D6615B">
        <w:rPr>
          <w:color w:val="auto"/>
          <w:sz w:val="22"/>
        </w:rPr>
        <w:t>.</w:t>
      </w:r>
    </w:p>
    <w:p w14:paraId="231C1A6C" w14:textId="77777777" w:rsidR="007019F4" w:rsidRDefault="007019F4" w:rsidP="00BD67ED">
      <w:pPr>
        <w:pStyle w:val="ListParagraph"/>
        <w:numPr>
          <w:ilvl w:val="0"/>
          <w:numId w:val="7"/>
        </w:numPr>
        <w:spacing w:after="0"/>
        <w:ind w:left="720"/>
        <w:rPr>
          <w:color w:val="auto"/>
          <w:sz w:val="22"/>
        </w:rPr>
      </w:pPr>
      <w:r w:rsidRPr="00D6615B">
        <w:rPr>
          <w:color w:val="auto"/>
          <w:sz w:val="22"/>
        </w:rPr>
        <w:lastRenderedPageBreak/>
        <w:t>Foster Youth support: Expansion of the long-standing Guardian Scholars programs for foster youth students through the Cooperating Agencies Foster Youth Education Support (CAFYES) program.</w:t>
      </w:r>
      <w:r>
        <w:rPr>
          <w:color w:val="auto"/>
          <w:sz w:val="22"/>
        </w:rPr>
        <w:t xml:space="preserve"> There were 348 foster youth at OCC during the 2016/17 academic year.</w:t>
      </w:r>
    </w:p>
    <w:p w14:paraId="082E57C9" w14:textId="77777777" w:rsidR="007019F4" w:rsidRPr="00AE0EB8" w:rsidRDefault="007019F4" w:rsidP="00BD67ED">
      <w:r w:rsidRPr="00AE0EB8">
        <w:t>Meaningful, dynamic engagement with regional employers and industry partners is a major strength for OCC within the College’s broad and diverse inventory of over 130 career and technical education certificates. OCC partners with industry to provide unique skill training to students and incumbent workers from throughout the region. The College prioritizes and sustains vital industry partnerships through advisory committees, with a roster of more than 700 advisors who actively engage with faculty and students through annual committee meetings and frequent regional events attended by OCC faulty.  The College also participates actively in collaboration with the Los Angeles/Orange County regional consortium, the State’s Industry Sector Navigators and Deputy Sector Navigators, as well as local and regional employers and community partners including businesses and non-profit workforce development organizations such as United Way and Taller San Jose-Hope Builders. OCC also maintains a unique working partnership with the local Economic Workforce Development Boards/Workforce Investment Boards (WIBS), and maintains six active training programs registered with the OCWIB</w:t>
      </w:r>
      <w:r w:rsidRPr="00323CE2">
        <w:rPr>
          <w:rFonts w:ascii="Times New Roman" w:hAnsi="Times New Roman"/>
          <w:sz w:val="24"/>
          <w:szCs w:val="24"/>
        </w:rPr>
        <w:t xml:space="preserve">.            </w:t>
      </w:r>
      <w:r w:rsidRPr="00AE0EB8">
        <w:t xml:space="preserve">            </w:t>
      </w:r>
    </w:p>
    <w:p w14:paraId="74EA767C" w14:textId="77777777" w:rsidR="007019F4" w:rsidRPr="00AE0EB8" w:rsidRDefault="007019F4" w:rsidP="00BD67ED"/>
    <w:p w14:paraId="67DF193C" w14:textId="77777777" w:rsidR="00616888" w:rsidRPr="00F52F1A" w:rsidRDefault="00616888" w:rsidP="00BD67ED">
      <w:pPr>
        <w:shd w:val="clear" w:color="auto" w:fill="FFFFFF"/>
      </w:pPr>
    </w:p>
    <w:p w14:paraId="3E0D8422" w14:textId="77777777" w:rsidR="00976AAB" w:rsidRDefault="00976AAB" w:rsidP="00BD67ED">
      <w:pPr>
        <w:rPr>
          <w:rFonts w:cs="Arial"/>
        </w:rPr>
      </w:pPr>
      <w:r w:rsidRPr="00514695">
        <w:rPr>
          <w:rFonts w:cs="Arial"/>
        </w:rPr>
        <w:t>Golden West College has initiated and increased many events and activities to maximize our outreach efforts.  The College has been targeting presentations for specific student groups, reaching out to community centers, and creating new partnerships.  The College has broadened the scope of outreach to ensure the community is well aware of the plethora of programs and services available at Golden West College. The following are examples of outreach events put forth by GWC:</w:t>
      </w:r>
    </w:p>
    <w:p w14:paraId="1A84B526" w14:textId="77777777" w:rsidR="00D52278" w:rsidRPr="00514695" w:rsidRDefault="00D52278" w:rsidP="00BD67ED">
      <w:pPr>
        <w:rPr>
          <w:rFonts w:cs="Arial"/>
        </w:rPr>
      </w:pPr>
    </w:p>
    <w:p w14:paraId="2792E452" w14:textId="77777777" w:rsidR="00976AAB" w:rsidRPr="00514695" w:rsidRDefault="00976AAB" w:rsidP="00BD67ED">
      <w:pPr>
        <w:rPr>
          <w:rFonts w:cs="Arial"/>
          <w:b/>
        </w:rPr>
      </w:pPr>
      <w:r w:rsidRPr="00514695">
        <w:rPr>
          <w:rFonts w:cs="Arial"/>
          <w:u w:val="single"/>
        </w:rPr>
        <w:t>Partnership with Local Adult Education Centers/Adult Schools</w:t>
      </w:r>
    </w:p>
    <w:p w14:paraId="494DDAB5" w14:textId="77777777" w:rsidR="00976AAB" w:rsidRPr="00514695" w:rsidRDefault="00976AAB" w:rsidP="00BD67ED">
      <w:pPr>
        <w:rPr>
          <w:rFonts w:cs="Arial"/>
        </w:rPr>
      </w:pPr>
      <w:r w:rsidRPr="00514695">
        <w:rPr>
          <w:rFonts w:cs="Arial"/>
        </w:rPr>
        <w:lastRenderedPageBreak/>
        <w:t>Through the Adult Education Block Grant,</w:t>
      </w:r>
      <w:r w:rsidRPr="00514695">
        <w:rPr>
          <w:rFonts w:cs="Arial"/>
          <w:b/>
        </w:rPr>
        <w:t xml:space="preserve"> </w:t>
      </w:r>
      <w:r w:rsidRPr="00514695">
        <w:rPr>
          <w:rFonts w:cs="Arial"/>
        </w:rPr>
        <w:t xml:space="preserve">GWC provides a variety of content and services to Garden Grove and Huntington Beach Adult Schools; this is a new partnership in the formative stages. By June 2016, GWC and the District Office coordinated two tours for the two campuses, totaling over 250 students who visited GWC. There, the students observed demos by various programs, met counseling reps, and were introduced to the Vice President of Instruction. Additionally, GWC has offered instructional workshops that addressed mathematic and college-success content. GWC Outreach has also presented college application workshops, and provided guidance content to school administrators and counselors. Currently, the adult schools plan to bring 300 students to the 2017 College Preview Day. </w:t>
      </w:r>
    </w:p>
    <w:p w14:paraId="4ACC1F14" w14:textId="77777777" w:rsidR="00976AAB" w:rsidRPr="00514695" w:rsidRDefault="00976AAB" w:rsidP="00BD67ED">
      <w:pPr>
        <w:rPr>
          <w:rFonts w:cs="Arial"/>
          <w:u w:val="single"/>
        </w:rPr>
      </w:pPr>
      <w:r w:rsidRPr="00514695">
        <w:rPr>
          <w:rFonts w:cs="Arial"/>
          <w:u w:val="single"/>
        </w:rPr>
        <w:t xml:space="preserve">Basic Skills Math Workshops </w:t>
      </w:r>
    </w:p>
    <w:p w14:paraId="13D12D7E" w14:textId="77777777" w:rsidR="00976AAB" w:rsidRPr="00514695" w:rsidRDefault="00976AAB" w:rsidP="00BD67ED">
      <w:pPr>
        <w:rPr>
          <w:rFonts w:cs="Arial"/>
        </w:rPr>
      </w:pPr>
      <w:r w:rsidRPr="00514695">
        <w:rPr>
          <w:rFonts w:cs="Arial"/>
        </w:rPr>
        <w:t>Designed by Dr. Erin Craig, funded by the Title III and BSI grants, and taught by GWC Basic Skills Math instructors, these workshops address algebra content either in a basic skills or a contextualized format through different STEM disciplines. The options for the contextualized material are Biomedical and Health Sciences, Digital Media Arts, and Engineering and Applied Mathematics. In October 2016, this program officially launched with its adoption in several high schools from the Huntington Beach Union High School District. The students take a diagnostic assessment as the pre-test, and take the official GWC placement test as the post-test. GWC Outreach and Assessment teams assist with connecting the program to prospective schools, providing customer service-type support to the schools, and conducting the post-test.</w:t>
      </w:r>
    </w:p>
    <w:p w14:paraId="5ACAEB7A" w14:textId="77777777" w:rsidR="00976AAB" w:rsidRPr="00514695" w:rsidRDefault="00976AAB" w:rsidP="00BD67ED">
      <w:pPr>
        <w:rPr>
          <w:rFonts w:cs="Arial"/>
        </w:rPr>
      </w:pPr>
      <w:r w:rsidRPr="00514695">
        <w:rPr>
          <w:rFonts w:cs="Arial"/>
          <w:u w:val="single"/>
        </w:rPr>
        <w:t>High School Jumpstart Courses</w:t>
      </w:r>
    </w:p>
    <w:p w14:paraId="35B883B5" w14:textId="77777777" w:rsidR="00976AAB" w:rsidRPr="00514695" w:rsidRDefault="00976AAB" w:rsidP="00BD67ED">
      <w:pPr>
        <w:rPr>
          <w:rFonts w:cs="Arial"/>
        </w:rPr>
      </w:pPr>
      <w:r w:rsidRPr="00514695">
        <w:rPr>
          <w:rFonts w:cs="Arial"/>
        </w:rPr>
        <w:t xml:space="preserve">Designed by Dr. Erin Craig and taught by GWC Basic Skills Math instructors, these four-week workshops teach the math courses G010 and G030 in a free after-school program for our local high schools. The students take a diagnostic as the pre-test, learn for six to eight weeks with a GWC instructor and facilitator, and take the official GWC placement test as the post-test. As with the basic skills math workshops, GWC Outreach and Assessment teams assist with connecting </w:t>
      </w:r>
      <w:r w:rsidRPr="00514695">
        <w:rPr>
          <w:rFonts w:cs="Arial"/>
        </w:rPr>
        <w:lastRenderedPageBreak/>
        <w:t xml:space="preserve">the program to prospective schools, providing customer service-type support to the schools, and conducting the testing. </w:t>
      </w:r>
    </w:p>
    <w:p w14:paraId="02A18F2C" w14:textId="77777777" w:rsidR="00976AAB" w:rsidRPr="00514695" w:rsidRDefault="00976AAB" w:rsidP="00BD67ED">
      <w:pPr>
        <w:rPr>
          <w:u w:val="single"/>
        </w:rPr>
      </w:pPr>
      <w:r w:rsidRPr="00514695">
        <w:rPr>
          <w:u w:val="single"/>
        </w:rPr>
        <w:t xml:space="preserve">Dual Enrollment </w:t>
      </w:r>
    </w:p>
    <w:p w14:paraId="0AFE4B5A" w14:textId="5C527480" w:rsidR="00976AAB" w:rsidRPr="00514695" w:rsidRDefault="00976AAB" w:rsidP="00BD67ED">
      <w:r w:rsidRPr="00514695">
        <w:t>In summer 2017, the Arts and Letters Division collaborated with Huntington Beach Union High School District and successfully offered three dual-enrollment Fine Arts classes (Art 100—Fundamentals of Art, Music 139—History of Rock and Roll, and Theater 102—History of Film). All students who participated in these classes successfully completed them.</w:t>
      </w:r>
    </w:p>
    <w:p w14:paraId="2AE9F1B6" w14:textId="77777777" w:rsidR="00976AAB" w:rsidRPr="00514695" w:rsidRDefault="00976AAB" w:rsidP="00BD67ED">
      <w:pPr>
        <w:rPr>
          <w:rFonts w:cs="Arial"/>
        </w:rPr>
      </w:pPr>
      <w:r w:rsidRPr="00514695">
        <w:rPr>
          <w:rFonts w:cs="Arial"/>
          <w:u w:val="single"/>
        </w:rPr>
        <w:t>In-Class College Workshops</w:t>
      </w:r>
      <w:r w:rsidRPr="00514695">
        <w:rPr>
          <w:rFonts w:cs="Arial"/>
        </w:rPr>
        <w:t xml:space="preserve"> </w:t>
      </w:r>
    </w:p>
    <w:p w14:paraId="6BEAA310" w14:textId="77777777" w:rsidR="00976AAB" w:rsidRPr="00514695" w:rsidRDefault="00976AAB" w:rsidP="00BD67ED">
      <w:pPr>
        <w:rPr>
          <w:rFonts w:cs="Arial"/>
        </w:rPr>
      </w:pPr>
      <w:r w:rsidRPr="00514695">
        <w:rPr>
          <w:rFonts w:cs="Arial"/>
        </w:rPr>
        <w:t>Based on established partnerships and new invitations from local schools, GWC Outreach will speak to high school students regarding higher education and the student transition from K-12, college enrollment process, and college and career readiness topics such as independence and student development.</w:t>
      </w:r>
    </w:p>
    <w:p w14:paraId="237E95C0" w14:textId="77777777" w:rsidR="00976AAB" w:rsidRPr="00514695" w:rsidRDefault="00976AAB" w:rsidP="00BD67ED">
      <w:pPr>
        <w:rPr>
          <w:rFonts w:cs="Arial"/>
        </w:rPr>
      </w:pPr>
      <w:r w:rsidRPr="00514695">
        <w:rPr>
          <w:rFonts w:cs="Arial"/>
          <w:u w:val="single"/>
        </w:rPr>
        <w:t>Application Workshops</w:t>
      </w:r>
    </w:p>
    <w:p w14:paraId="4A43A0D2" w14:textId="624C3D32" w:rsidR="00976AAB" w:rsidRPr="00514695" w:rsidRDefault="00976AAB" w:rsidP="00BD67ED">
      <w:pPr>
        <w:rPr>
          <w:rFonts w:cs="Arial"/>
        </w:rPr>
      </w:pPr>
      <w:r w:rsidRPr="00514695">
        <w:rPr>
          <w:rFonts w:cs="Arial"/>
        </w:rPr>
        <w:t xml:space="preserve">GWC Outreach coordinates staff and provides workshops to guide prospective students through the application process for GWC admission. These occur at local high schools, community groups, and adult education programs. </w:t>
      </w:r>
    </w:p>
    <w:p w14:paraId="1F7D695D" w14:textId="77777777" w:rsidR="00976AAB" w:rsidRPr="00514695" w:rsidRDefault="00976AAB" w:rsidP="00BD67ED">
      <w:pPr>
        <w:rPr>
          <w:rFonts w:cs="Arial"/>
        </w:rPr>
      </w:pPr>
      <w:r w:rsidRPr="00514695">
        <w:rPr>
          <w:rFonts w:cs="Arial"/>
          <w:u w:val="single"/>
        </w:rPr>
        <w:t>GWC Pathway Days and Campus Tours</w:t>
      </w:r>
    </w:p>
    <w:p w14:paraId="293FDCCB" w14:textId="77777777" w:rsidR="00976AAB" w:rsidRPr="00514695" w:rsidRDefault="00976AAB" w:rsidP="00BD67ED">
      <w:pPr>
        <w:rPr>
          <w:rFonts w:cs="Arial"/>
        </w:rPr>
      </w:pPr>
      <w:r w:rsidRPr="00514695">
        <w:rPr>
          <w:rFonts w:cs="Arial"/>
        </w:rPr>
        <w:t>Coordinated by the visiting representative and the GWC Outreach Department, off-campus prospective individuals or groups will visit the GWC campus.  The program typically includes an introductory session, greeting from a campus executive representative, campus tour, and demonstration from several on campus departments – CTE or otherwise – showcasing their departmental offerings in an exciting, interactive manner.</w:t>
      </w:r>
    </w:p>
    <w:p w14:paraId="12062094" w14:textId="77777777" w:rsidR="00976AAB" w:rsidRPr="00514695" w:rsidRDefault="00976AAB" w:rsidP="00BD67ED">
      <w:pPr>
        <w:rPr>
          <w:rFonts w:cs="Arial"/>
        </w:rPr>
      </w:pPr>
      <w:r w:rsidRPr="00514695">
        <w:rPr>
          <w:rFonts w:cs="Arial"/>
          <w:u w:val="single"/>
        </w:rPr>
        <w:t>Financial Aid Workshops</w:t>
      </w:r>
    </w:p>
    <w:p w14:paraId="101C9686" w14:textId="77777777" w:rsidR="00976AAB" w:rsidRPr="00514695" w:rsidRDefault="00976AAB" w:rsidP="00BD67ED">
      <w:pPr>
        <w:rPr>
          <w:rFonts w:cs="Arial"/>
        </w:rPr>
      </w:pPr>
      <w:r w:rsidRPr="00514695">
        <w:rPr>
          <w:rFonts w:cs="Arial"/>
        </w:rPr>
        <w:t>Similar to the Application Workshops, the GWC representative is invited to assist with the process of completing a FAFSA application, or to discuss the various options for financing a student’s education.  These workshops can be held during the day or evening depending on the desire for parents to attend as well. Other FAFSA workshops in</w:t>
      </w:r>
      <w:r w:rsidRPr="00514695">
        <w:rPr>
          <w:rFonts w:cs="Arial"/>
        </w:rPr>
        <w:lastRenderedPageBreak/>
        <w:t xml:space="preserve">clude High School FAFSA Parent Nights and FAFSA/Dream Act Workshops. The High School FAFSA Parent Nights provide parents information on various programs and funding available for students at the high schools and assist parents with helping their high school students complete their FAFSA application. The FAFSA/Dream Act Workshops assist students in completing and submitting their FAFSA/Dream Act applications.  The workshops are available in English, Spanish and Vietnamese.  </w:t>
      </w:r>
    </w:p>
    <w:p w14:paraId="33C75478" w14:textId="77777777" w:rsidR="00976AAB" w:rsidRPr="00514695" w:rsidRDefault="00976AAB" w:rsidP="00BD67ED">
      <w:pPr>
        <w:rPr>
          <w:rFonts w:cs="Arial"/>
          <w:u w:val="single"/>
        </w:rPr>
      </w:pPr>
      <w:r w:rsidRPr="00514695">
        <w:rPr>
          <w:rFonts w:cs="Arial"/>
          <w:u w:val="single"/>
        </w:rPr>
        <w:t>Financial Aid Fest</w:t>
      </w:r>
    </w:p>
    <w:p w14:paraId="01004582" w14:textId="21D49A2E" w:rsidR="00976AAB" w:rsidRPr="00514695" w:rsidRDefault="00976AAB" w:rsidP="00BD67ED">
      <w:pPr>
        <w:rPr>
          <w:rFonts w:cs="Arial"/>
        </w:rPr>
      </w:pPr>
      <w:r w:rsidRPr="00514695">
        <w:rPr>
          <w:rFonts w:cs="Arial"/>
        </w:rPr>
        <w:t xml:space="preserve">During the Spring Semester students and community members are invited to an engaging event which provides a variety of tools and information about the various grants and resources available to students. This program involves all departments across the campus. During this event, the In-Reach team assists students who have only submitted their FAFSA but are still required to submit additional information. The Financial Aid team provides students one-on-one assistance to complete the process and follows up with students throughout, ensuring that the students complete the required actions to expedite their Financial Aid awards. </w:t>
      </w:r>
    </w:p>
    <w:p w14:paraId="02772B67" w14:textId="77777777" w:rsidR="00976AAB" w:rsidRPr="00514695" w:rsidRDefault="00976AAB" w:rsidP="00BD67ED">
      <w:pPr>
        <w:rPr>
          <w:rFonts w:cs="Arial"/>
          <w:u w:val="single"/>
        </w:rPr>
      </w:pPr>
      <w:r w:rsidRPr="00514695">
        <w:rPr>
          <w:rFonts w:cs="Arial"/>
          <w:u w:val="single"/>
        </w:rPr>
        <w:t>Golden West College Outreach Taskforce</w:t>
      </w:r>
    </w:p>
    <w:p w14:paraId="30C8B11D" w14:textId="77777777" w:rsidR="00976AAB" w:rsidRPr="00514695" w:rsidRDefault="00976AAB" w:rsidP="00BD67ED">
      <w:pPr>
        <w:rPr>
          <w:rFonts w:cs="Arial"/>
        </w:rPr>
      </w:pPr>
      <w:r w:rsidRPr="00514695">
        <w:rPr>
          <w:rFonts w:cs="Arial"/>
        </w:rPr>
        <w:t xml:space="preserve">In summer 2017, a taskforce comprising of Outreach, Adult Education, EOPS, CTE, Financial Aid, and PUENTE began work on unifying outreach efforts across campus. The taskforce shares calendars of outreach functions and pools resources to have a consistent, cross-functional, collaborative presence when representing GWC in the community. </w:t>
      </w:r>
    </w:p>
    <w:p w14:paraId="1E3F6855" w14:textId="77777777" w:rsidR="00976AAB" w:rsidRPr="00514695" w:rsidRDefault="00976AAB" w:rsidP="00BD67ED">
      <w:pPr>
        <w:rPr>
          <w:rFonts w:cs="Arial"/>
          <w:u w:val="single"/>
        </w:rPr>
      </w:pPr>
      <w:r w:rsidRPr="00514695">
        <w:rPr>
          <w:rFonts w:cs="Arial"/>
          <w:u w:val="single"/>
        </w:rPr>
        <w:t>Campus In-Reach Events</w:t>
      </w:r>
    </w:p>
    <w:p w14:paraId="01925851" w14:textId="77777777" w:rsidR="00976AAB" w:rsidRPr="00514695" w:rsidRDefault="00976AAB" w:rsidP="00BD67ED">
      <w:pPr>
        <w:rPr>
          <w:rFonts w:cs="Arial"/>
        </w:rPr>
      </w:pPr>
      <w:r w:rsidRPr="00514695">
        <w:rPr>
          <w:rFonts w:cs="Arial"/>
        </w:rPr>
        <w:t xml:space="preserve">In 2016- 2017, the Financial Aid Department participated in twelve classroom presentations, and six campus events such as Freshman Priority Registration (FPR), High School Senior Day, Welcome Day, High School Counselor, Police Academy orientation, etc.  Also, during the first two weeks of each term, we hosted a table off of Main Street where we assisted students with financial aid inquiries using hand-held tablets. </w:t>
      </w:r>
    </w:p>
    <w:p w14:paraId="6652C592" w14:textId="77777777" w:rsidR="00976AAB" w:rsidRPr="00514695" w:rsidRDefault="00976AAB" w:rsidP="00BD67ED">
      <w:pPr>
        <w:rPr>
          <w:rFonts w:cs="Arial"/>
          <w:u w:val="single"/>
        </w:rPr>
      </w:pPr>
      <w:r w:rsidRPr="00514695">
        <w:rPr>
          <w:rFonts w:cs="Arial"/>
          <w:u w:val="single"/>
        </w:rPr>
        <w:t>Enrollment Services Outreach</w:t>
      </w:r>
    </w:p>
    <w:p w14:paraId="107265B2" w14:textId="77777777" w:rsidR="00976AAB" w:rsidRPr="00514695" w:rsidRDefault="00976AAB" w:rsidP="00BD67ED">
      <w:pPr>
        <w:rPr>
          <w:rFonts w:cs="Arial"/>
        </w:rPr>
      </w:pPr>
      <w:r w:rsidRPr="00514695">
        <w:rPr>
          <w:rFonts w:cs="Arial"/>
        </w:rPr>
        <w:lastRenderedPageBreak/>
        <w:t xml:space="preserve">Outreach efforts by Admissions and Records have focused on supporting GWC students with targeted communications in the form of texts, emails, and phone calls during our Drop for Non-Payment enrollment process prior to the semester start. In the past, communications were general warnings; now the A&amp;R department is expanding their outreach with individualized communications that provide specified instructions to better serve the students we are engaging with to support successful enrollment into class starts. Examples of directed communication are to BOG students who may have a minimal balance, students without financial aid, students with out of state residency and students who have made a partial payment but still may be impacted by the Drop for Non-Payment procedure. Through customized communication we have been able to reduce the number of students that have been dropped for non-payment. </w:t>
      </w:r>
    </w:p>
    <w:p w14:paraId="0FB4175D" w14:textId="77777777" w:rsidR="00976AAB" w:rsidRPr="00514695" w:rsidRDefault="00976AAB" w:rsidP="00BD67ED">
      <w:pPr>
        <w:rPr>
          <w:u w:val="single"/>
        </w:rPr>
      </w:pPr>
      <w:r w:rsidRPr="00514695">
        <w:rPr>
          <w:u w:val="single"/>
        </w:rPr>
        <w:t>#YouAreWelcomeHere</w:t>
      </w:r>
    </w:p>
    <w:p w14:paraId="0AF0F905" w14:textId="742BA994" w:rsidR="00976AAB" w:rsidRPr="00514695" w:rsidRDefault="00976AAB" w:rsidP="00BD67ED">
      <w:pPr>
        <w:rPr>
          <w:u w:val="single"/>
        </w:rPr>
      </w:pPr>
      <w:r w:rsidRPr="00514695">
        <w:t xml:space="preserve">Reaffirming the college’s support for diverse local and international students, GWC joined a national campaign among colleges and universities with an online video and other campus communications featuring the message, </w:t>
      </w:r>
      <w:r w:rsidRPr="00514695">
        <w:rPr>
          <w:i/>
        </w:rPr>
        <w:t xml:space="preserve">YouAreWelcomeHere. </w:t>
      </w:r>
      <w:r w:rsidRPr="00514695">
        <w:t xml:space="preserve">The </w:t>
      </w:r>
      <w:hyperlink r:id="rId63" w:history="1">
        <w:r w:rsidRPr="00514695">
          <w:rPr>
            <w:rStyle w:val="Hyperlink"/>
            <w:color w:val="auto"/>
          </w:rPr>
          <w:t>video on YouTube</w:t>
        </w:r>
      </w:hyperlink>
      <w:r w:rsidRPr="00514695">
        <w:t xml:space="preserve"> has been viewed 3,000 times.</w:t>
      </w:r>
      <w:r w:rsidRPr="00514695">
        <w:tab/>
      </w:r>
    </w:p>
    <w:p w14:paraId="598DEB10" w14:textId="77777777" w:rsidR="00976AAB" w:rsidRPr="00514695" w:rsidRDefault="00976AAB" w:rsidP="00BD67ED">
      <w:pPr>
        <w:rPr>
          <w:u w:val="single"/>
        </w:rPr>
      </w:pPr>
      <w:r w:rsidRPr="00514695">
        <w:rPr>
          <w:u w:val="single"/>
        </w:rPr>
        <w:t>Cultural Celebrations</w:t>
      </w:r>
    </w:p>
    <w:p w14:paraId="347FB222" w14:textId="77777777" w:rsidR="00976AAB" w:rsidRPr="00514695" w:rsidRDefault="00976AAB" w:rsidP="00BD67ED">
      <w:r w:rsidRPr="00514695">
        <w:t xml:space="preserve">Visible programs and events on campuses which celebrate cultures and engage students across differences contribute to feelings of inclusion and appreciation for diversity at colleges and universities </w:t>
      </w:r>
      <w:r w:rsidRPr="00514695">
        <w:fldChar w:fldCharType="begin" w:fldLock="1"/>
      </w:r>
      <w:r w:rsidRPr="00514695">
        <w:instrText>ADDIN CSL_CITATION { "citationItems" : [ { "id" : "ITEM-1", "itemData" : { "DOI" : "10.1177/2158244013489686", "ISBN" : "21582440 (ISSN)", "ISSN" : "2158-2440", "abstract" : "While the concepts related to diversity and inclusion are commonly found as part of universities' mission and vision, implementing these concepts into practice can present a challenge. This study identified discrepancies between concepts and practice of diversity and inclusion at a multidisciplinary health sciences university. The results indicated that participants experienced inclusion along a range of engagement. Hispanic/Latino students, faculty, and staff as well as lesbian, gay, bisexual, transgender, and queer students and staff experienced disparaging behavior on a regular basis at the University, which contributed to fear. The results demonstrate barriers to the inclusion efforts and indicate that the university must bridge the gap between diversity concepts and practice.", "author" : [ { "dropping-particle" : "", "family" : "Elliott", "given" : "Craig M.", "non-dropping-particle" : "", "parse-names" : false, "suffix" : "" }, { "dropping-particle" : "", "family" : "Stransky", "given" : "Olivia", "non-dropping-particle" : "", "parse-names" : false, "suffix" : "" }, { "dropping-particle" : "", "family" : "Negron", "given" : "Ricardo", "non-dropping-particle" : "", "parse-names" : false, "suffix" : "" }, { "dropping-particle" : "", "family" : "Bowlby", "given" : "Melinda", "non-dropping-particle" : "", "parse-names" : false, "suffix" : "" }, { "dropping-particle" : "", "family" : "Lickiss", "given" : "Jessica", "non-dropping-particle" : "", "parse-names" : false, "suffix" : "" }, { "dropping-particle" : "", "family" : "Dutt", "given" : "Diksha", "non-dropping-particle" : "", "parse-names" : false, "suffix" : "" }, { "dropping-particle" : "", "family" : "Dasgupta", "given" : "Nandini", "non-dropping-particle" : "", "parse-names" : false, "suffix" : "" }, { "dropping-particle" : "", "family" : "Barbosa", "given" : "Peter", "non-dropping-particle" : "", "parse-names" : false, "suffix" : "" } ], "container-title" : "SAGE Open", "id" : "ITEM-1", "issue" : "2", "issued" : { "date-parts" : [ [ "2013" ] ] }, "page" : "215824401348968", "title" : "Institutional Barriers to Diversity Change Work in Higher Education", "type" : "article-journal", "volume" : "3" }, "uris" : [ "http://www.mendeley.com/documents/?uuid=a577de50-6872-4f38-9a39-976e6acd07fe" ] } ], "mendeley" : { "formattedCitation" : "(Elliott et al., 2013)", "plainTextFormattedCitation" : "(Elliott et al., 2013)", "previouslyFormattedCitation" : "(Elliott et al., 2013)" }, "properties" : { "noteIndex" : 2 }, "schema" : "https://github.com/citation-style-language/schema/raw/master/csl-citation.json" }</w:instrText>
      </w:r>
      <w:r w:rsidRPr="00514695">
        <w:fldChar w:fldCharType="separate"/>
      </w:r>
      <w:r w:rsidRPr="00514695">
        <w:rPr>
          <w:noProof/>
        </w:rPr>
        <w:t>(Elliott et al., 2013)</w:t>
      </w:r>
      <w:r w:rsidRPr="00514695">
        <w:fldChar w:fldCharType="end"/>
      </w:r>
      <w:r w:rsidRPr="00514695">
        <w:t xml:space="preserve">.  Each of the festivals and celebrations below offered opportunities for students to engage with and learn about cultural traditions and customs in an inclusive and celebratory atmosphere.    </w:t>
      </w:r>
    </w:p>
    <w:p w14:paraId="21E19CB8" w14:textId="77777777" w:rsidR="00976AAB" w:rsidRPr="00514695" w:rsidRDefault="00976AAB" w:rsidP="00BD67ED">
      <w:pPr>
        <w:pStyle w:val="ListParagraph"/>
        <w:spacing w:after="0"/>
        <w:ind w:left="1532" w:hanging="360"/>
        <w:rPr>
          <w:color w:val="auto"/>
        </w:rPr>
      </w:pPr>
      <w:r w:rsidRPr="00514695">
        <w:rPr>
          <w:rFonts w:cs="Courier New"/>
          <w:color w:val="auto"/>
        </w:rPr>
        <w:t>o</w:t>
      </w:r>
      <w:r w:rsidRPr="00514695">
        <w:rPr>
          <w:color w:val="auto"/>
        </w:rPr>
        <w:t xml:space="preserve">   Hindu Festival of Colors </w:t>
      </w:r>
    </w:p>
    <w:p w14:paraId="6745F491" w14:textId="77777777" w:rsidR="00976AAB" w:rsidRPr="00514695" w:rsidRDefault="00976AAB" w:rsidP="00BD67ED">
      <w:pPr>
        <w:pStyle w:val="ListParagraph"/>
        <w:spacing w:after="0"/>
        <w:ind w:left="1532" w:hanging="360"/>
        <w:rPr>
          <w:color w:val="auto"/>
        </w:rPr>
      </w:pPr>
      <w:r w:rsidRPr="00514695">
        <w:rPr>
          <w:rFonts w:cs="Courier New"/>
          <w:color w:val="auto"/>
        </w:rPr>
        <w:t>o</w:t>
      </w:r>
      <w:r w:rsidRPr="00514695">
        <w:rPr>
          <w:color w:val="auto"/>
        </w:rPr>
        <w:t>   Dia de los Muertos</w:t>
      </w:r>
    </w:p>
    <w:p w14:paraId="01C44196" w14:textId="77777777" w:rsidR="00976AAB" w:rsidRPr="00514695" w:rsidRDefault="00976AAB" w:rsidP="00BD67ED">
      <w:pPr>
        <w:pStyle w:val="ListParagraph"/>
        <w:spacing w:after="0"/>
        <w:ind w:left="1532" w:hanging="360"/>
        <w:rPr>
          <w:color w:val="auto"/>
        </w:rPr>
      </w:pPr>
      <w:r w:rsidRPr="00514695">
        <w:rPr>
          <w:rFonts w:cs="Courier New"/>
          <w:color w:val="auto"/>
        </w:rPr>
        <w:t>o</w:t>
      </w:r>
      <w:r w:rsidRPr="00514695">
        <w:rPr>
          <w:color w:val="auto"/>
        </w:rPr>
        <w:t>   International Education Week Festival</w:t>
      </w:r>
    </w:p>
    <w:p w14:paraId="6114C1FA" w14:textId="77777777" w:rsidR="00976AAB" w:rsidRPr="00514695" w:rsidRDefault="00976AAB" w:rsidP="00BD67ED">
      <w:pPr>
        <w:pStyle w:val="ListParagraph"/>
        <w:spacing w:after="0"/>
        <w:ind w:left="1532" w:hanging="360"/>
        <w:rPr>
          <w:color w:val="auto"/>
        </w:rPr>
      </w:pPr>
      <w:r w:rsidRPr="00514695">
        <w:rPr>
          <w:rFonts w:cs="Courier New"/>
          <w:color w:val="auto"/>
        </w:rPr>
        <w:t>o</w:t>
      </w:r>
      <w:r w:rsidRPr="00514695">
        <w:rPr>
          <w:color w:val="auto"/>
        </w:rPr>
        <w:t>   Coming Out Day/LGBTQ+ Pride</w:t>
      </w:r>
    </w:p>
    <w:p w14:paraId="7F0775B6" w14:textId="77777777" w:rsidR="00976AAB" w:rsidRPr="00514695" w:rsidRDefault="00976AAB" w:rsidP="00BD67ED">
      <w:pPr>
        <w:rPr>
          <w:u w:val="single"/>
        </w:rPr>
      </w:pPr>
      <w:r w:rsidRPr="00514695">
        <w:rPr>
          <w:u w:val="single"/>
        </w:rPr>
        <w:t xml:space="preserve">Disability Services and Programs for Students </w:t>
      </w:r>
    </w:p>
    <w:p w14:paraId="5C3BD268" w14:textId="77777777" w:rsidR="00976AAB" w:rsidRDefault="00976AAB" w:rsidP="00BD67ED">
      <w:r w:rsidRPr="00514695">
        <w:t xml:space="preserve">GWC DSPS has had a partnership with the surrounding feeder schools in Huntington Beach Union High School District and Garden Grove Unified. We assist the students in their transition from high school to </w:t>
      </w:r>
      <w:r w:rsidRPr="00514695">
        <w:lastRenderedPageBreak/>
        <w:t xml:space="preserve">college and work closely with the Workability Counselors and general counselors to ensure a link between the students and GWC. We start this with outreach, assessment testing and then follow it up with transition days at GWC to have the students meet with a DSPS Counselor, establish accommodations, and create educational plans to be ready for the Fall semester and registration. During the summer we provide Student Success Workshops to help students be prepared for the first week of school. This year we added our first ever Parent Open House in the spring to share with prospective students’ parents DSPS and other support areas at GWC.  In general, DSPS staff supports all students with disabilities to ensure access, accommodations, and support throughout their educational journey at GWC. </w:t>
      </w:r>
    </w:p>
    <w:p w14:paraId="7E03D364" w14:textId="77777777" w:rsidR="00976AAB" w:rsidRPr="00514695" w:rsidRDefault="00976AAB" w:rsidP="00BD67ED">
      <w:pPr>
        <w:rPr>
          <w:rFonts w:cs="Arial"/>
          <w:u w:val="single"/>
        </w:rPr>
      </w:pPr>
      <w:r w:rsidRPr="00514695">
        <w:rPr>
          <w:rFonts w:cs="Arial"/>
          <w:u w:val="single"/>
        </w:rPr>
        <w:t>Peace Conference</w:t>
      </w:r>
    </w:p>
    <w:p w14:paraId="73D1ADF1" w14:textId="7F536A09" w:rsidR="00976AAB" w:rsidRPr="00514695" w:rsidRDefault="00976AAB" w:rsidP="00BD67ED">
      <w:r w:rsidRPr="00514695">
        <w:t xml:space="preserve">As part of the GWC Peace Studies Program, </w:t>
      </w:r>
      <w:r w:rsidRPr="00BD67ED">
        <w:rPr>
          <w:bCs/>
        </w:rPr>
        <w:t>Fran Farazdaghi</w:t>
      </w:r>
      <w:r w:rsidRPr="00514695">
        <w:t xml:space="preserve"> (Peace Studies) organized the 11th annual Peace and Leadership Conference at GWC to promote peace and nonviolence. In April</w:t>
      </w:r>
      <w:r w:rsidR="00BD67ED">
        <w:t xml:space="preserve"> 2017</w:t>
      </w:r>
      <w:r w:rsidRPr="00514695">
        <w:t>, over 350 people attended the conference, which was an interdisciplinary gathering of students, educators, researchers, artists, activists, community leaders, and the general public.  This marks the fourth year that the conference has been a zero waste event at GWC. All organic waste from the conference was separated and sent to compost operations, which diverted the waste from local landfills.</w:t>
      </w:r>
    </w:p>
    <w:p w14:paraId="10E46916" w14:textId="77777777" w:rsidR="00976AAB" w:rsidRPr="00514695" w:rsidRDefault="00976AAB" w:rsidP="00BD67ED">
      <w:pPr>
        <w:rPr>
          <w:rFonts w:cs="Arial"/>
        </w:rPr>
      </w:pPr>
    </w:p>
    <w:p w14:paraId="087A72F1" w14:textId="77777777" w:rsidR="006E43C5" w:rsidRPr="00514695" w:rsidRDefault="006E43C5" w:rsidP="00BD67ED">
      <w:r w:rsidRPr="00514695">
        <w:t>Coastline Community College has developed new strategies for recruiting students. Various offices, including Outreach, Career &amp; Technical Education, and certain academic programs coordinate visitations to each service area high school and build programs for students to experience both Coastline Community College and various potential majors such as Accounting, Psychology, Computer Networking, etc.  Each year the College has over a thousand high school students visit its Centers to interact with professionals from the community in many major discipline areas.</w:t>
      </w:r>
    </w:p>
    <w:p w14:paraId="5C9838ED" w14:textId="77777777" w:rsidR="006E43C5" w:rsidRPr="00514695" w:rsidRDefault="006E43C5" w:rsidP="00BD67ED"/>
    <w:p w14:paraId="56CCD0D6" w14:textId="77777777" w:rsidR="006E43C5" w:rsidRPr="00514695" w:rsidRDefault="006E43C5" w:rsidP="00BD67ED">
      <w:r w:rsidRPr="00514695">
        <w:t xml:space="preserve">Through Coastline Community College’s Student Equity Plan and college planning processes, the Outreach office has developed a more </w:t>
      </w:r>
      <w:r w:rsidRPr="00514695">
        <w:lastRenderedPageBreak/>
        <w:t>comprehensive outreach plan to lead new strategies for recruiting and engaging students. The Outreach team participates and/or hosts over 120 events annually including college and career fairs, tabling at local high schools, classroom presentation, and various community events. In addition, the Outreach team hosts larger scale events for local high school students on campus and continues to tailor those events to specific student populations identified in the planning process. As well, Coastline is exploring and implementing additional technology-mediated student services as means to continually meet the accreditation standards regarding access to services.</w:t>
      </w:r>
    </w:p>
    <w:p w14:paraId="0A747B6F" w14:textId="77777777" w:rsidR="006E43C5" w:rsidRPr="00514695" w:rsidRDefault="006E43C5" w:rsidP="00BD67ED">
      <w:r w:rsidRPr="00514695">
        <w:t>Coastline Community College has set up programming to support new incoming students:</w:t>
      </w:r>
    </w:p>
    <w:p w14:paraId="4B24C215" w14:textId="77777777" w:rsidR="006E43C5" w:rsidRPr="00514695" w:rsidRDefault="006E43C5" w:rsidP="00BD67ED">
      <w:pPr>
        <w:pStyle w:val="ListParagraph"/>
        <w:numPr>
          <w:ilvl w:val="0"/>
          <w:numId w:val="22"/>
        </w:numPr>
        <w:spacing w:after="0"/>
        <w:rPr>
          <w:color w:val="auto"/>
          <w:sz w:val="22"/>
        </w:rPr>
      </w:pPr>
      <w:r w:rsidRPr="00514695">
        <w:rPr>
          <w:color w:val="auto"/>
          <w:sz w:val="22"/>
        </w:rPr>
        <w:t>Easy onboarding processes into structured pathways like STAR 2.0, College Promise, and Learning 1</w:t>
      </w:r>
      <w:r w:rsidRPr="00514695">
        <w:rPr>
          <w:color w:val="auto"/>
          <w:sz w:val="22"/>
          <w:vertAlign w:val="superscript"/>
        </w:rPr>
        <w:t>st</w:t>
      </w:r>
      <w:r w:rsidRPr="00514695">
        <w:rPr>
          <w:color w:val="auto"/>
          <w:sz w:val="22"/>
        </w:rPr>
        <w:t>, as means for students to create and follow a clear path to completion.</w:t>
      </w:r>
    </w:p>
    <w:p w14:paraId="5C366D1A" w14:textId="77777777" w:rsidR="006E43C5" w:rsidRPr="00514695" w:rsidRDefault="006E43C5" w:rsidP="00BD67ED">
      <w:pPr>
        <w:pStyle w:val="ListParagraph"/>
        <w:numPr>
          <w:ilvl w:val="0"/>
          <w:numId w:val="22"/>
        </w:numPr>
        <w:spacing w:after="0"/>
        <w:rPr>
          <w:color w:val="auto"/>
          <w:sz w:val="22"/>
        </w:rPr>
      </w:pPr>
      <w:r w:rsidRPr="00514695">
        <w:rPr>
          <w:color w:val="auto"/>
          <w:sz w:val="22"/>
        </w:rPr>
        <w:t>A growing Information Center featuring student and full-time staff to provide informational support for prospective and current Coastline students and the public.</w:t>
      </w:r>
    </w:p>
    <w:p w14:paraId="2F04779B" w14:textId="77777777" w:rsidR="006E43C5" w:rsidRPr="00514695" w:rsidRDefault="006E43C5" w:rsidP="00BD67ED">
      <w:pPr>
        <w:pStyle w:val="ListParagraph"/>
        <w:numPr>
          <w:ilvl w:val="0"/>
          <w:numId w:val="22"/>
        </w:numPr>
        <w:spacing w:after="0"/>
        <w:rPr>
          <w:color w:val="auto"/>
          <w:sz w:val="22"/>
        </w:rPr>
      </w:pPr>
      <w:r w:rsidRPr="00514695">
        <w:rPr>
          <w:color w:val="auto"/>
          <w:sz w:val="22"/>
        </w:rPr>
        <w:t>Embedded tutoring that creates an organic relationship with students and tutors. In the classroom, tutors get a first-hand knowledge of faculty assignments and expectations so they can better support student learning.</w:t>
      </w:r>
    </w:p>
    <w:p w14:paraId="596D4422" w14:textId="77777777" w:rsidR="006E43C5" w:rsidRPr="00514695" w:rsidRDefault="006E43C5" w:rsidP="00BD67ED">
      <w:pPr>
        <w:pStyle w:val="ListParagraph"/>
        <w:numPr>
          <w:ilvl w:val="0"/>
          <w:numId w:val="22"/>
        </w:numPr>
        <w:spacing w:after="0"/>
        <w:rPr>
          <w:color w:val="auto"/>
          <w:sz w:val="22"/>
        </w:rPr>
      </w:pPr>
      <w:r w:rsidRPr="00514695">
        <w:rPr>
          <w:color w:val="auto"/>
          <w:sz w:val="22"/>
        </w:rPr>
        <w:t>Student Ambassadors who focus on peer-to-peer outreach strategies and also support the activities of the Outreach &amp; Recruitment Office. Ambassadors have launched a blog with topics that are relevant to current and prospective students and completed a four-week training covering all areas of student services and instruction in July and August of 2017.</w:t>
      </w:r>
    </w:p>
    <w:p w14:paraId="4FDBA97D" w14:textId="77777777" w:rsidR="006E43C5" w:rsidRPr="00514695" w:rsidRDefault="006E43C5" w:rsidP="00BD67ED">
      <w:pPr>
        <w:pStyle w:val="ListParagraph"/>
        <w:numPr>
          <w:ilvl w:val="0"/>
          <w:numId w:val="22"/>
        </w:numPr>
        <w:spacing w:after="0"/>
        <w:rPr>
          <w:color w:val="auto"/>
          <w:sz w:val="22"/>
        </w:rPr>
      </w:pPr>
      <w:r w:rsidRPr="00514695">
        <w:rPr>
          <w:color w:val="auto"/>
          <w:sz w:val="22"/>
        </w:rPr>
        <w:t xml:space="preserve">Veteran Resource Centers have been established at Newport Beach and Fountain Valley Learning Centers to support the veteran student population at Coastline. </w:t>
      </w:r>
    </w:p>
    <w:p w14:paraId="3901F1C8" w14:textId="77777777" w:rsidR="006E43C5" w:rsidRPr="00514695" w:rsidRDefault="006E43C5" w:rsidP="00BD67ED">
      <w:pPr>
        <w:pStyle w:val="ListParagraph"/>
        <w:numPr>
          <w:ilvl w:val="0"/>
          <w:numId w:val="22"/>
        </w:numPr>
        <w:spacing w:after="0"/>
        <w:rPr>
          <w:color w:val="auto"/>
          <w:sz w:val="22"/>
        </w:rPr>
      </w:pPr>
      <w:r w:rsidRPr="00514695">
        <w:rPr>
          <w:color w:val="auto"/>
          <w:sz w:val="22"/>
        </w:rPr>
        <w:t>AANAPISI outreach efforts provide an array of access and engagement opportunities for the Asian/Pacific Islander community. In 2015-2016, these efforts will be focused on building a new STAR 2.0 program at the Garden Grove Center.</w:t>
      </w:r>
    </w:p>
    <w:p w14:paraId="1AA5698A" w14:textId="3921D24E" w:rsidR="006E43C5" w:rsidRPr="00514695" w:rsidRDefault="006E43C5" w:rsidP="00BD67ED">
      <w:pPr>
        <w:pStyle w:val="ListParagraph"/>
        <w:numPr>
          <w:ilvl w:val="0"/>
          <w:numId w:val="22"/>
        </w:numPr>
        <w:spacing w:after="0"/>
        <w:rPr>
          <w:color w:val="auto"/>
          <w:sz w:val="22"/>
        </w:rPr>
      </w:pPr>
      <w:r w:rsidRPr="00514695">
        <w:rPr>
          <w:color w:val="auto"/>
          <w:sz w:val="22"/>
        </w:rPr>
        <w:lastRenderedPageBreak/>
        <w:t>Outreach &amp; Recruitment department is in its third</w:t>
      </w:r>
      <w:r w:rsidR="00E25A34">
        <w:rPr>
          <w:color w:val="auto"/>
          <w:sz w:val="22"/>
        </w:rPr>
        <w:t xml:space="preserve"> full-</w:t>
      </w:r>
      <w:r w:rsidRPr="00514695">
        <w:rPr>
          <w:color w:val="auto"/>
          <w:sz w:val="22"/>
        </w:rPr>
        <w:t>year as a unit within Student Services at Coastline. From 2014-15 to the most recent year in 2016-2017, the department has increased event counts from roughly 50 to over 120. Along with other activities, this has contributed positively to the increase of recent high school graduates attending Coastline.</w:t>
      </w:r>
    </w:p>
    <w:p w14:paraId="56CE8B7A" w14:textId="77777777" w:rsidR="006E43C5" w:rsidRPr="00514695" w:rsidRDefault="006E43C5" w:rsidP="00BD67ED">
      <w:pPr>
        <w:pStyle w:val="ListParagraph"/>
        <w:numPr>
          <w:ilvl w:val="0"/>
          <w:numId w:val="22"/>
        </w:numPr>
        <w:spacing w:after="0"/>
        <w:rPr>
          <w:color w:val="auto"/>
          <w:sz w:val="22"/>
        </w:rPr>
      </w:pPr>
      <w:r w:rsidRPr="00514695">
        <w:rPr>
          <w:color w:val="auto"/>
          <w:sz w:val="22"/>
        </w:rPr>
        <w:t>Outreach &amp; Recruitment piloted an academy for parents of current Coastline students from a Latino background. This program was presented mostly in Spanish and included a group of 10 parents and families covering basic information about how parents can support their children through college, financial aid, transfer basics, and encouragement to promote college awareness in their own communities.</w:t>
      </w:r>
    </w:p>
    <w:p w14:paraId="4CC9B7F0" w14:textId="77777777" w:rsidR="006E43C5" w:rsidRPr="00514695" w:rsidRDefault="006E43C5" w:rsidP="00BD67ED">
      <w:pPr>
        <w:pStyle w:val="ListParagraph"/>
        <w:numPr>
          <w:ilvl w:val="0"/>
          <w:numId w:val="22"/>
        </w:numPr>
        <w:spacing w:after="0"/>
        <w:rPr>
          <w:color w:val="auto"/>
          <w:sz w:val="22"/>
        </w:rPr>
      </w:pPr>
      <w:r w:rsidRPr="00514695">
        <w:rPr>
          <w:color w:val="auto"/>
          <w:sz w:val="22"/>
        </w:rPr>
        <w:t>Future exploration and implementation of new technology-mediated student support and assessment (e.g., Skype, Education Advisory Board on-boarding, and Civitas).</w:t>
      </w:r>
    </w:p>
    <w:p w14:paraId="71A24C40" w14:textId="77777777" w:rsidR="006E43C5" w:rsidRPr="00514695" w:rsidRDefault="006E43C5" w:rsidP="00BD67ED">
      <w:pPr>
        <w:pStyle w:val="ListParagraph"/>
        <w:numPr>
          <w:ilvl w:val="0"/>
          <w:numId w:val="22"/>
        </w:numPr>
        <w:spacing w:after="0"/>
        <w:rPr>
          <w:color w:val="auto"/>
          <w:sz w:val="22"/>
        </w:rPr>
      </w:pPr>
      <w:r w:rsidRPr="00514695">
        <w:rPr>
          <w:color w:val="auto"/>
          <w:sz w:val="22"/>
        </w:rPr>
        <w:t>In 2015-2016, new developments for a Foster Youth program overseen by the EOPS/CARE/CalWORKs office.</w:t>
      </w:r>
    </w:p>
    <w:p w14:paraId="7A5419D3" w14:textId="77777777" w:rsidR="006E43C5" w:rsidRPr="00514695" w:rsidRDefault="006E43C5" w:rsidP="00BD67ED">
      <w:pPr>
        <w:pStyle w:val="ListParagraph"/>
        <w:numPr>
          <w:ilvl w:val="0"/>
          <w:numId w:val="22"/>
        </w:numPr>
        <w:spacing w:after="0"/>
        <w:rPr>
          <w:color w:val="auto"/>
          <w:sz w:val="22"/>
        </w:rPr>
      </w:pPr>
      <w:r w:rsidRPr="00514695">
        <w:rPr>
          <w:color w:val="auto"/>
          <w:sz w:val="22"/>
        </w:rPr>
        <w:t>Student Life, with support from SSSP, Title III, and Associated Student Government (ASG) launched the new Coastline Mobile App—an engagement platform to quickly connect students with services, events, and provide space for social interaction—in January 2017. There are over 1,300 active users on the app as of September 2017.</w:t>
      </w:r>
    </w:p>
    <w:p w14:paraId="076FA71F" w14:textId="77777777" w:rsidR="006E43C5" w:rsidRPr="00514695" w:rsidRDefault="006E43C5" w:rsidP="00BD67ED">
      <w:pPr>
        <w:pStyle w:val="ListParagraph"/>
        <w:numPr>
          <w:ilvl w:val="0"/>
          <w:numId w:val="22"/>
        </w:numPr>
        <w:spacing w:after="0"/>
        <w:rPr>
          <w:color w:val="auto"/>
        </w:rPr>
      </w:pPr>
      <w:r w:rsidRPr="00514695">
        <w:rPr>
          <w:color w:val="auto"/>
          <w:sz w:val="22"/>
        </w:rPr>
        <w:t>Continued development of Student Life programming, especially for on-site students, including the creation and continuation of campus clubs (there were 4 active clubs in 2014 and 8 in 2016). In 2017-18, Student Life anticipates another increase in active club count.</w:t>
      </w:r>
    </w:p>
    <w:p w14:paraId="6C86F6FB" w14:textId="4B323056" w:rsidR="006F308D" w:rsidRDefault="006F308D" w:rsidP="00BD67ED"/>
    <w:p w14:paraId="5F752058" w14:textId="77777777" w:rsidR="006E43C5" w:rsidRDefault="006E43C5" w:rsidP="00BD67ED">
      <w:pPr>
        <w:ind w:left="360"/>
      </w:pPr>
    </w:p>
    <w:p w14:paraId="351C84F6" w14:textId="6054D92F" w:rsidR="006F308D" w:rsidRPr="006F308D" w:rsidRDefault="006F308D" w:rsidP="00BD67ED">
      <w:pPr>
        <w:pStyle w:val="NormalWeb"/>
        <w:spacing w:before="0" w:beforeAutospacing="0" w:after="0" w:afterAutospacing="0"/>
        <w:rPr>
          <w:b/>
          <w:sz w:val="22"/>
          <w:szCs w:val="22"/>
        </w:rPr>
      </w:pPr>
      <w:r w:rsidRPr="006F308D">
        <w:rPr>
          <w:b/>
          <w:sz w:val="22"/>
          <w:szCs w:val="22"/>
        </w:rPr>
        <w:t>District-wide</w:t>
      </w:r>
    </w:p>
    <w:p w14:paraId="2225AB22" w14:textId="77777777" w:rsidR="006F308D" w:rsidRDefault="006F308D" w:rsidP="00BD67ED">
      <w:pPr>
        <w:pStyle w:val="NormalWeb"/>
        <w:spacing w:before="0" w:beforeAutospacing="0" w:after="0" w:afterAutospacing="0"/>
        <w:rPr>
          <w:sz w:val="22"/>
          <w:szCs w:val="22"/>
        </w:rPr>
      </w:pPr>
    </w:p>
    <w:p w14:paraId="6716340C" w14:textId="1BA9C4AD" w:rsidR="006F308D" w:rsidRDefault="006F308D" w:rsidP="00BD67ED">
      <w:pPr>
        <w:pStyle w:val="NormalWeb"/>
        <w:spacing w:before="0" w:beforeAutospacing="0" w:after="0" w:afterAutospacing="0"/>
        <w:rPr>
          <w:sz w:val="22"/>
          <w:szCs w:val="22"/>
        </w:rPr>
      </w:pPr>
      <w:r>
        <w:rPr>
          <w:sz w:val="22"/>
          <w:szCs w:val="22"/>
        </w:rPr>
        <w:t xml:space="preserve">In February 2016, </w:t>
      </w:r>
      <w:r w:rsidR="00F60668">
        <w:rPr>
          <w:sz w:val="22"/>
          <w:szCs w:val="22"/>
        </w:rPr>
        <w:t>the District</w:t>
      </w:r>
      <w:r>
        <w:rPr>
          <w:sz w:val="22"/>
          <w:szCs w:val="22"/>
        </w:rPr>
        <w:t xml:space="preserve"> started the </w:t>
      </w:r>
      <w:r w:rsidRPr="00726774">
        <w:rPr>
          <w:sz w:val="22"/>
          <w:szCs w:val="22"/>
        </w:rPr>
        <w:t>implementation of Banner Financial Aid</w:t>
      </w:r>
      <w:r>
        <w:rPr>
          <w:sz w:val="22"/>
          <w:szCs w:val="22"/>
        </w:rPr>
        <w:t xml:space="preserve"> </w:t>
      </w:r>
      <w:r w:rsidR="001B15B6">
        <w:rPr>
          <w:sz w:val="22"/>
          <w:szCs w:val="22"/>
        </w:rPr>
        <w:t xml:space="preserve">for all three colleges </w:t>
      </w:r>
      <w:r>
        <w:rPr>
          <w:sz w:val="22"/>
          <w:szCs w:val="22"/>
        </w:rPr>
        <w:t>to replace the obsolete and stand-</w:t>
      </w:r>
      <w:r>
        <w:rPr>
          <w:sz w:val="22"/>
          <w:szCs w:val="22"/>
        </w:rPr>
        <w:lastRenderedPageBreak/>
        <w:t>alone PowerFaids financial aid management sy</w:t>
      </w:r>
      <w:r w:rsidR="0076392C">
        <w:rPr>
          <w:sz w:val="22"/>
          <w:szCs w:val="22"/>
        </w:rPr>
        <w:t xml:space="preserve">stem. In December 2016, the colleges </w:t>
      </w:r>
      <w:r>
        <w:rPr>
          <w:sz w:val="22"/>
          <w:szCs w:val="22"/>
        </w:rPr>
        <w:t>started processing of financial aid students for the 2017-18 award year in Banner. The implementation will complete in August 2017. The integration that is achieved by utilizing Banner Financial Aid for the first-time will greatly improve and expedite the processing of financial aid for our students.</w:t>
      </w:r>
    </w:p>
    <w:p w14:paraId="59D7A386" w14:textId="77777777" w:rsidR="006F308D" w:rsidRDefault="006F308D" w:rsidP="00BD67ED">
      <w:pPr>
        <w:pStyle w:val="NormalWeb"/>
        <w:spacing w:before="0" w:beforeAutospacing="0" w:after="0" w:afterAutospacing="0"/>
        <w:rPr>
          <w:sz w:val="22"/>
          <w:szCs w:val="22"/>
        </w:rPr>
      </w:pPr>
    </w:p>
    <w:p w14:paraId="40A92C7D" w14:textId="0E10B4F5" w:rsidR="006F308D" w:rsidRDefault="00F60668" w:rsidP="00BD67ED">
      <w:pPr>
        <w:pStyle w:val="NormalWeb"/>
        <w:spacing w:before="0" w:beforeAutospacing="0" w:after="0" w:afterAutospacing="0"/>
        <w:rPr>
          <w:sz w:val="22"/>
          <w:szCs w:val="22"/>
        </w:rPr>
      </w:pPr>
      <w:r>
        <w:rPr>
          <w:sz w:val="22"/>
          <w:szCs w:val="22"/>
        </w:rPr>
        <w:t xml:space="preserve">In 2016-17, the District </w:t>
      </w:r>
      <w:r w:rsidR="006F308D">
        <w:rPr>
          <w:sz w:val="22"/>
          <w:szCs w:val="22"/>
        </w:rPr>
        <w:t>implement</w:t>
      </w:r>
      <w:r>
        <w:rPr>
          <w:sz w:val="22"/>
          <w:szCs w:val="22"/>
        </w:rPr>
        <w:t>ed</w:t>
      </w:r>
      <w:r w:rsidR="006F308D">
        <w:rPr>
          <w:sz w:val="22"/>
          <w:szCs w:val="22"/>
        </w:rPr>
        <w:t xml:space="preserve"> CampusLogic for all three colleges to communicate more effectively and efficiently with students applying for financial aid </w:t>
      </w:r>
      <w:r>
        <w:rPr>
          <w:sz w:val="22"/>
          <w:szCs w:val="22"/>
        </w:rPr>
        <w:t xml:space="preserve">and </w:t>
      </w:r>
      <w:r w:rsidR="006F308D">
        <w:rPr>
          <w:sz w:val="22"/>
          <w:szCs w:val="22"/>
        </w:rPr>
        <w:t>to ensure the timely verification of the required documentation for financial aid eligibility in an easy to access and utilize platform.</w:t>
      </w:r>
    </w:p>
    <w:p w14:paraId="00C2C405" w14:textId="77777777" w:rsidR="00AB130C" w:rsidRDefault="00AB130C" w:rsidP="00BD67ED">
      <w:pPr>
        <w:pStyle w:val="NormalWeb"/>
        <w:spacing w:before="0" w:beforeAutospacing="0" w:after="0" w:afterAutospacing="0"/>
        <w:rPr>
          <w:sz w:val="22"/>
          <w:szCs w:val="22"/>
        </w:rPr>
      </w:pPr>
    </w:p>
    <w:p w14:paraId="0D847BBC" w14:textId="0AD1C418" w:rsidR="00AB130C" w:rsidRDefault="00AB130C" w:rsidP="00BD67ED">
      <w:pPr>
        <w:pStyle w:val="NormalWeb"/>
        <w:spacing w:before="0" w:beforeAutospacing="0" w:after="0" w:afterAutospacing="0"/>
        <w:rPr>
          <w:sz w:val="22"/>
          <w:szCs w:val="22"/>
        </w:rPr>
      </w:pPr>
      <w:r>
        <w:rPr>
          <w:sz w:val="22"/>
          <w:szCs w:val="22"/>
        </w:rPr>
        <w:t xml:space="preserve">The first </w:t>
      </w:r>
      <w:r w:rsidRPr="00726774">
        <w:rPr>
          <w:sz w:val="22"/>
          <w:szCs w:val="22"/>
        </w:rPr>
        <w:t>District-wide Strategic Technology Plan 2016-19</w:t>
      </w:r>
      <w:r>
        <w:rPr>
          <w:sz w:val="22"/>
          <w:szCs w:val="22"/>
        </w:rPr>
        <w:t xml:space="preserve"> was approved by the Board in December 14, 2016. </w:t>
      </w:r>
      <w:r w:rsidR="00F60668">
        <w:rPr>
          <w:sz w:val="22"/>
          <w:szCs w:val="22"/>
        </w:rPr>
        <w:t>T</w:t>
      </w:r>
      <w:r w:rsidRPr="00726774">
        <w:rPr>
          <w:sz w:val="22"/>
          <w:szCs w:val="22"/>
        </w:rPr>
        <w:t xml:space="preserve">he implementation of the </w:t>
      </w:r>
      <w:r>
        <w:rPr>
          <w:sz w:val="22"/>
          <w:szCs w:val="22"/>
        </w:rPr>
        <w:t>plan</w:t>
      </w:r>
      <w:r w:rsidRPr="00726774">
        <w:rPr>
          <w:sz w:val="22"/>
          <w:szCs w:val="22"/>
        </w:rPr>
        <w:t xml:space="preserve"> </w:t>
      </w:r>
      <w:r>
        <w:rPr>
          <w:sz w:val="22"/>
          <w:szCs w:val="22"/>
        </w:rPr>
        <w:t>whose main focus is on technology application to improve the</w:t>
      </w:r>
      <w:r w:rsidR="00F60668">
        <w:rPr>
          <w:sz w:val="22"/>
          <w:szCs w:val="22"/>
        </w:rPr>
        <w:t xml:space="preserve"> student experience and success is well under way.</w:t>
      </w:r>
    </w:p>
    <w:p w14:paraId="2E8B86C2" w14:textId="77777777" w:rsidR="00AB130C" w:rsidRDefault="00AB130C" w:rsidP="00BD67ED">
      <w:pPr>
        <w:pStyle w:val="NormalWeb"/>
        <w:spacing w:before="0" w:beforeAutospacing="0" w:after="0" w:afterAutospacing="0"/>
        <w:rPr>
          <w:sz w:val="22"/>
          <w:szCs w:val="22"/>
        </w:rPr>
      </w:pPr>
    </w:p>
    <w:p w14:paraId="39BD8171" w14:textId="77777777" w:rsidR="00AB130C" w:rsidRDefault="00AB130C" w:rsidP="00BD67ED">
      <w:pPr>
        <w:pStyle w:val="NormalWeb"/>
        <w:spacing w:before="0" w:beforeAutospacing="0" w:after="0" w:afterAutospacing="0"/>
        <w:rPr>
          <w:sz w:val="22"/>
          <w:szCs w:val="22"/>
        </w:rPr>
      </w:pPr>
      <w:r>
        <w:rPr>
          <w:sz w:val="22"/>
          <w:szCs w:val="22"/>
        </w:rPr>
        <w:t>We are continuing the successful county-wide collaboration with all community colleges, K-12 districts, universities, and employers to expand CTE pathways and dual enrollment for high school students. Through the Adult Education Block Grant, we are also continuing the successful collaboration with the adult education schools and various educational providers and non-profit organizations to improve educational and workforce opportunities for adults in the district service area.</w:t>
      </w:r>
    </w:p>
    <w:p w14:paraId="4AE6A63E" w14:textId="77777777" w:rsidR="00AB130C" w:rsidRDefault="00AB130C" w:rsidP="006F308D">
      <w:pPr>
        <w:pStyle w:val="NormalWeb"/>
        <w:spacing w:before="0" w:beforeAutospacing="0" w:after="0" w:afterAutospacing="0" w:line="240" w:lineRule="auto"/>
        <w:rPr>
          <w:sz w:val="22"/>
          <w:szCs w:val="22"/>
        </w:rPr>
      </w:pPr>
    </w:p>
    <w:p w14:paraId="4C12B099" w14:textId="77777777" w:rsidR="006F308D" w:rsidRDefault="006F308D" w:rsidP="006F308D">
      <w:pPr>
        <w:pStyle w:val="NormalWeb"/>
        <w:spacing w:before="0" w:beforeAutospacing="0" w:after="0" w:afterAutospacing="0" w:line="240" w:lineRule="auto"/>
        <w:rPr>
          <w:sz w:val="22"/>
          <w:szCs w:val="22"/>
        </w:rPr>
      </w:pPr>
    </w:p>
    <w:p w14:paraId="040DAB70" w14:textId="77777777" w:rsidR="006F308D" w:rsidRDefault="006F308D" w:rsidP="006F308D">
      <w:pPr>
        <w:pStyle w:val="NormalWeb"/>
        <w:spacing w:before="0" w:beforeAutospacing="0" w:after="0" w:afterAutospacing="0" w:line="240" w:lineRule="auto"/>
        <w:rPr>
          <w:sz w:val="22"/>
          <w:szCs w:val="22"/>
        </w:rPr>
      </w:pPr>
    </w:p>
    <w:p w14:paraId="35A3C701" w14:textId="77777777" w:rsidR="006F308D" w:rsidRPr="006F308D" w:rsidRDefault="006F308D" w:rsidP="006F308D">
      <w:pPr>
        <w:spacing w:line="240" w:lineRule="auto"/>
        <w:ind w:left="360"/>
      </w:pPr>
    </w:p>
    <w:p w14:paraId="5ABE2FC5" w14:textId="77777777" w:rsidR="00AB130C" w:rsidRDefault="00AB130C">
      <w:pPr>
        <w:rPr>
          <w:rStyle w:val="Heading1Char"/>
          <w:rFonts w:eastAsia="Calibri"/>
          <w:color w:val="auto"/>
        </w:rPr>
      </w:pPr>
      <w:bookmarkStart w:id="103" w:name="_Toc287724523"/>
      <w:bookmarkStart w:id="104" w:name="_Toc287786888"/>
      <w:bookmarkStart w:id="105" w:name="_Toc288721527"/>
      <w:bookmarkStart w:id="106" w:name="_Toc288722344"/>
      <w:bookmarkStart w:id="107" w:name="_Toc288801584"/>
      <w:bookmarkStart w:id="108" w:name="_Toc341183251"/>
      <w:r>
        <w:rPr>
          <w:rStyle w:val="Heading1Char"/>
          <w:rFonts w:eastAsia="Calibri"/>
          <w:color w:val="auto"/>
        </w:rPr>
        <w:br w:type="page"/>
      </w:r>
    </w:p>
    <w:p w14:paraId="0F9D6074" w14:textId="361B9209" w:rsidR="006F12EA" w:rsidRPr="007A5F2B" w:rsidRDefault="006F12EA" w:rsidP="005231FA">
      <w:pPr>
        <w:rPr>
          <w:rStyle w:val="Heading1Char"/>
          <w:rFonts w:eastAsia="Calibri"/>
          <w:color w:val="auto"/>
        </w:rPr>
      </w:pPr>
      <w:bookmarkStart w:id="109" w:name="_Toc506217430"/>
      <w:r w:rsidRPr="007A5F2B">
        <w:rPr>
          <w:rStyle w:val="Heading1Char"/>
          <w:rFonts w:eastAsia="Calibri"/>
          <w:color w:val="auto"/>
        </w:rPr>
        <w:lastRenderedPageBreak/>
        <w:t>CHAPTER III</w:t>
      </w:r>
      <w:r w:rsidR="00A314A7" w:rsidRPr="007A5F2B">
        <w:rPr>
          <w:rStyle w:val="Heading1Char"/>
          <w:rFonts w:eastAsia="Calibri"/>
          <w:color w:val="auto"/>
        </w:rPr>
        <w:t xml:space="preserve">: </w:t>
      </w:r>
      <w:r w:rsidRPr="007A5F2B">
        <w:rPr>
          <w:rStyle w:val="Heading1Char"/>
          <w:rFonts w:eastAsia="Calibri"/>
          <w:color w:val="auto"/>
        </w:rPr>
        <w:t>FACULTY, STAFF AND ADMINISTRATORS/MANAGERS</w:t>
      </w:r>
      <w:bookmarkEnd w:id="103"/>
      <w:bookmarkEnd w:id="104"/>
      <w:bookmarkEnd w:id="105"/>
      <w:bookmarkEnd w:id="106"/>
      <w:bookmarkEnd w:id="107"/>
      <w:bookmarkEnd w:id="108"/>
      <w:bookmarkEnd w:id="109"/>
    </w:p>
    <w:p w14:paraId="0F9D6075" w14:textId="3974802C" w:rsidR="006F12EA" w:rsidRPr="007A5F2B" w:rsidRDefault="004556F2" w:rsidP="005231FA">
      <w:pPr>
        <w:pStyle w:val="Heading2"/>
        <w:spacing w:before="0"/>
        <w:rPr>
          <w:color w:val="auto"/>
        </w:rPr>
      </w:pPr>
      <w:bookmarkStart w:id="110" w:name="_Toc341183252"/>
      <w:bookmarkStart w:id="111" w:name="_Toc506217431"/>
      <w:r w:rsidRPr="007A5F2B">
        <w:rPr>
          <w:color w:val="auto"/>
        </w:rPr>
        <w:t>Permanent</w:t>
      </w:r>
      <w:r w:rsidR="006F12EA" w:rsidRPr="007A5F2B">
        <w:rPr>
          <w:color w:val="auto"/>
        </w:rPr>
        <w:t xml:space="preserve"> Faculty, Staff and Administrators/Managers</w:t>
      </w:r>
      <w:bookmarkEnd w:id="110"/>
      <w:bookmarkEnd w:id="111"/>
    </w:p>
    <w:p w14:paraId="60FDB2B2" w14:textId="40007876" w:rsidR="00763300" w:rsidRPr="002E676C" w:rsidRDefault="00763300" w:rsidP="00763300">
      <w:pPr>
        <w:tabs>
          <w:tab w:val="left" w:pos="1210"/>
          <w:tab w:val="left" w:pos="1982"/>
          <w:tab w:val="left" w:pos="3965"/>
          <w:tab w:val="left" w:pos="5158"/>
          <w:tab w:val="left" w:pos="6132"/>
        </w:tabs>
        <w:autoSpaceDE w:val="0"/>
        <w:autoSpaceDN w:val="0"/>
        <w:adjustRightInd w:val="0"/>
      </w:pPr>
      <w:r w:rsidRPr="007A5F2B">
        <w:t xml:space="preserve">Strong budgets since 2012 </w:t>
      </w:r>
      <w:r>
        <w:t xml:space="preserve">and a significant infusion of revenue from categorical funds and grants </w:t>
      </w:r>
      <w:r w:rsidRPr="007A5F2B">
        <w:t xml:space="preserve">have contributed to </w:t>
      </w:r>
      <w:r>
        <w:t xml:space="preserve">an </w:t>
      </w:r>
      <w:r w:rsidRPr="007A5F2B">
        <w:t xml:space="preserve">increase </w:t>
      </w:r>
      <w:r>
        <w:t xml:space="preserve">in </w:t>
      </w:r>
      <w:r w:rsidRPr="007A5F2B">
        <w:t>hiring across all employee groups. District-wide, the number of permanent</w:t>
      </w:r>
      <w:r>
        <w:t xml:space="preserve"> full-time</w:t>
      </w:r>
      <w:r w:rsidRPr="007A5F2B">
        <w:t xml:space="preserve"> </w:t>
      </w:r>
      <w:r>
        <w:t>faculty increased by a net of 39</w:t>
      </w:r>
      <w:r w:rsidRPr="007A5F2B">
        <w:t xml:space="preserve"> over the last five years</w:t>
      </w:r>
      <w:r>
        <w:t xml:space="preserve"> from 412 in fall 2012 to 451 in fall 2016</w:t>
      </w:r>
      <w:r w:rsidRPr="007A5F2B">
        <w:t xml:space="preserve">. The number of </w:t>
      </w:r>
      <w:r>
        <w:t xml:space="preserve">regular </w:t>
      </w:r>
      <w:r w:rsidRPr="007A5F2B">
        <w:t>classified/confid</w:t>
      </w:r>
      <w:r>
        <w:t>ential employees increased by 44 over the last five years from 692 in fall 2012 to 736 in fall 2016</w:t>
      </w:r>
      <w:r w:rsidRPr="007A5F2B">
        <w:t xml:space="preserve">. The educational </w:t>
      </w:r>
      <w:r w:rsidRPr="002E676C">
        <w:t>administrato</w:t>
      </w:r>
      <w:r>
        <w:t>rs and classified managers i</w:t>
      </w:r>
      <w:r w:rsidRPr="002E676C">
        <w:t xml:space="preserve">ncreased by </w:t>
      </w:r>
      <w:r>
        <w:t>24</w:t>
      </w:r>
      <w:r w:rsidRPr="002E676C">
        <w:t xml:space="preserve"> </w:t>
      </w:r>
      <w:r>
        <w:t>over the last five years from 120 in fall 2012 to 144 in fall 2016</w:t>
      </w:r>
      <w:r w:rsidRPr="002E676C">
        <w:t>.</w:t>
      </w:r>
    </w:p>
    <w:p w14:paraId="2496B4CA" w14:textId="77777777" w:rsidR="002E676C" w:rsidRPr="00514695" w:rsidRDefault="002E676C" w:rsidP="006F08DB">
      <w:pPr>
        <w:tabs>
          <w:tab w:val="left" w:pos="360"/>
          <w:tab w:val="left" w:pos="1982"/>
          <w:tab w:val="left" w:pos="3965"/>
          <w:tab w:val="left" w:pos="5158"/>
          <w:tab w:val="left" w:pos="6132"/>
        </w:tabs>
        <w:autoSpaceDE w:val="0"/>
        <w:autoSpaceDN w:val="0"/>
        <w:adjustRightInd w:val="0"/>
        <w:jc w:val="center"/>
        <w:rPr>
          <w:b/>
          <w:bCs/>
        </w:rPr>
      </w:pPr>
    </w:p>
    <w:p w14:paraId="0F9D607A" w14:textId="739FB2A0" w:rsidR="006F12EA" w:rsidRPr="00B9364B" w:rsidRDefault="00F0552C" w:rsidP="006F08DB">
      <w:pPr>
        <w:tabs>
          <w:tab w:val="left" w:pos="360"/>
          <w:tab w:val="left" w:pos="1982"/>
          <w:tab w:val="left" w:pos="3965"/>
          <w:tab w:val="left" w:pos="5158"/>
          <w:tab w:val="left" w:pos="6132"/>
        </w:tabs>
        <w:autoSpaceDE w:val="0"/>
        <w:autoSpaceDN w:val="0"/>
        <w:adjustRightInd w:val="0"/>
        <w:jc w:val="center"/>
        <w:rPr>
          <w:b/>
          <w:bCs/>
          <w:color w:val="FF0000"/>
        </w:rPr>
      </w:pPr>
      <w:r w:rsidRPr="00B9364B">
        <w:rPr>
          <w:b/>
          <w:noProof/>
          <w:color w:val="FF0000"/>
        </w:rPr>
        <w:drawing>
          <wp:inline distT="0" distB="0" distL="0" distR="0" wp14:anchorId="647BFE16" wp14:editId="7C39F1DE">
            <wp:extent cx="6553200" cy="141922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E520F6" w14:textId="77777777" w:rsidR="00CF00DA" w:rsidRPr="00B9364B" w:rsidRDefault="00CF00DA" w:rsidP="00341383">
      <w:pPr>
        <w:autoSpaceDE w:val="0"/>
        <w:autoSpaceDN w:val="0"/>
        <w:adjustRightInd w:val="0"/>
        <w:rPr>
          <w:noProof/>
          <w:color w:val="FF0000"/>
          <w:sz w:val="20"/>
          <w:szCs w:val="20"/>
        </w:rPr>
      </w:pPr>
    </w:p>
    <w:p w14:paraId="0F9D607F" w14:textId="453223F0" w:rsidR="00A633D9" w:rsidRDefault="00C92F6B" w:rsidP="00C32EAA">
      <w:pPr>
        <w:autoSpaceDE w:val="0"/>
        <w:autoSpaceDN w:val="0"/>
        <w:adjustRightInd w:val="0"/>
        <w:jc w:val="center"/>
        <w:rPr>
          <w:noProof/>
          <w:color w:val="FF0000"/>
          <w:sz w:val="20"/>
          <w:szCs w:val="20"/>
        </w:rPr>
      </w:pPr>
      <w:r w:rsidRPr="00B9364B">
        <w:rPr>
          <w:noProof/>
          <w:color w:val="FF0000"/>
        </w:rPr>
        <w:drawing>
          <wp:inline distT="0" distB="0" distL="0" distR="0" wp14:anchorId="56CFC630" wp14:editId="7744F001">
            <wp:extent cx="6429375" cy="15049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A0822F7" w14:textId="77777777" w:rsidR="00235FBA" w:rsidRPr="00B9364B" w:rsidRDefault="00235FBA" w:rsidP="00C32EAA">
      <w:pPr>
        <w:autoSpaceDE w:val="0"/>
        <w:autoSpaceDN w:val="0"/>
        <w:adjustRightInd w:val="0"/>
        <w:jc w:val="center"/>
        <w:rPr>
          <w:noProof/>
          <w:color w:val="FF0000"/>
          <w:sz w:val="20"/>
          <w:szCs w:val="20"/>
        </w:rPr>
      </w:pPr>
    </w:p>
    <w:p w14:paraId="34073598" w14:textId="66E041D5" w:rsidR="00CF00DA" w:rsidRPr="00B9364B" w:rsidRDefault="00235FBA">
      <w:pPr>
        <w:rPr>
          <w:noProof/>
          <w:color w:val="FF0000"/>
          <w:sz w:val="16"/>
          <w:szCs w:val="16"/>
        </w:rPr>
      </w:pPr>
      <w:r w:rsidRPr="00B9364B">
        <w:rPr>
          <w:noProof/>
          <w:color w:val="FF0000"/>
        </w:rPr>
        <w:drawing>
          <wp:inline distT="0" distB="0" distL="0" distR="0" wp14:anchorId="444A7AF2" wp14:editId="1496D037">
            <wp:extent cx="6505575" cy="15716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E4BC886" w14:textId="77777777" w:rsidR="00814F0C" w:rsidRPr="00B9364B" w:rsidRDefault="00814F0C" w:rsidP="00814F0C">
      <w:pPr>
        <w:autoSpaceDE w:val="0"/>
        <w:autoSpaceDN w:val="0"/>
        <w:adjustRightInd w:val="0"/>
        <w:rPr>
          <w:color w:val="FF0000"/>
          <w:sz w:val="16"/>
          <w:szCs w:val="16"/>
        </w:rPr>
      </w:pPr>
    </w:p>
    <w:p w14:paraId="249CB1AD" w14:textId="622FAFC2" w:rsidR="002E676C" w:rsidRDefault="002E676C" w:rsidP="00814F0C">
      <w:pPr>
        <w:autoSpaceDE w:val="0"/>
        <w:autoSpaceDN w:val="0"/>
        <w:adjustRightInd w:val="0"/>
        <w:rPr>
          <w:sz w:val="16"/>
          <w:szCs w:val="16"/>
        </w:rPr>
      </w:pPr>
      <w:r w:rsidRPr="00175466">
        <w:rPr>
          <w:b/>
          <w:noProof/>
          <w:color w:val="FF0000"/>
        </w:rPr>
        <w:lastRenderedPageBreak/>
        <w:drawing>
          <wp:inline distT="0" distB="0" distL="0" distR="0" wp14:anchorId="5A769857" wp14:editId="7029FA5B">
            <wp:extent cx="6553200" cy="14192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F9D6082" w14:textId="7C925E03" w:rsidR="00BB79F8" w:rsidRDefault="00BB79F8" w:rsidP="00814F0C">
      <w:pPr>
        <w:autoSpaceDE w:val="0"/>
        <w:autoSpaceDN w:val="0"/>
        <w:adjustRightInd w:val="0"/>
        <w:rPr>
          <w:sz w:val="16"/>
          <w:szCs w:val="16"/>
        </w:rPr>
      </w:pPr>
      <w:r w:rsidRPr="00B5266B">
        <w:rPr>
          <w:sz w:val="16"/>
          <w:szCs w:val="16"/>
        </w:rPr>
        <w:t xml:space="preserve">Source: </w:t>
      </w:r>
      <w:r w:rsidR="002E676C">
        <w:rPr>
          <w:sz w:val="16"/>
          <w:szCs w:val="16"/>
        </w:rPr>
        <w:t>Employee Profile Cube</w:t>
      </w:r>
    </w:p>
    <w:p w14:paraId="24962B7A" w14:textId="65D39B1B" w:rsidR="00C15BEF" w:rsidRPr="00C15BEF" w:rsidRDefault="00C15BEF" w:rsidP="00814F0C">
      <w:pPr>
        <w:autoSpaceDE w:val="0"/>
        <w:autoSpaceDN w:val="0"/>
        <w:adjustRightInd w:val="0"/>
        <w:rPr>
          <w:rFonts w:ascii="Calibri" w:hAnsi="Calibri"/>
          <w:sz w:val="16"/>
          <w:szCs w:val="16"/>
        </w:rPr>
      </w:pPr>
      <w:r w:rsidRPr="00C15BEF">
        <w:rPr>
          <w:rFonts w:ascii="Calibri" w:hAnsi="Calibri"/>
          <w:sz w:val="16"/>
          <w:szCs w:val="16"/>
        </w:rPr>
        <w:t>Fall 2016 numbers as of 10/29/2016</w:t>
      </w:r>
    </w:p>
    <w:p w14:paraId="0DA01E90" w14:textId="77777777" w:rsidR="00235FBA" w:rsidRDefault="00235FBA">
      <w:pPr>
        <w:rPr>
          <w:rFonts w:asciiTheme="majorHAnsi" w:eastAsiaTheme="majorEastAsia" w:hAnsiTheme="majorHAnsi" w:cstheme="majorBidi"/>
          <w:b/>
          <w:bCs/>
          <w:color w:val="FF0000"/>
          <w:sz w:val="26"/>
          <w:szCs w:val="26"/>
        </w:rPr>
      </w:pPr>
      <w:bookmarkStart w:id="112" w:name="_Toc341183253"/>
      <w:r>
        <w:rPr>
          <w:color w:val="FF0000"/>
        </w:rPr>
        <w:br w:type="page"/>
      </w:r>
    </w:p>
    <w:p w14:paraId="0F9D6083" w14:textId="07E23F39" w:rsidR="006F12EA" w:rsidRPr="005266ED" w:rsidRDefault="006F12EA" w:rsidP="0068143A">
      <w:pPr>
        <w:pStyle w:val="Heading2"/>
        <w:rPr>
          <w:color w:val="auto"/>
        </w:rPr>
      </w:pPr>
      <w:bookmarkStart w:id="113" w:name="_Toc506217432"/>
      <w:r w:rsidRPr="005266ED">
        <w:rPr>
          <w:color w:val="auto"/>
        </w:rPr>
        <w:lastRenderedPageBreak/>
        <w:t>Ge</w:t>
      </w:r>
      <w:r w:rsidR="00131285" w:rsidRPr="005266ED">
        <w:rPr>
          <w:color w:val="auto"/>
        </w:rPr>
        <w:t xml:space="preserve">nder Composition of Permanent Faculty, Classified </w:t>
      </w:r>
      <w:r w:rsidRPr="005266ED">
        <w:rPr>
          <w:color w:val="auto"/>
        </w:rPr>
        <w:t>Staff</w:t>
      </w:r>
      <w:r w:rsidR="00131285" w:rsidRPr="005266ED">
        <w:rPr>
          <w:color w:val="auto"/>
        </w:rPr>
        <w:t xml:space="preserve"> and Administrators/Managers</w:t>
      </w:r>
      <w:bookmarkEnd w:id="112"/>
      <w:bookmarkEnd w:id="113"/>
    </w:p>
    <w:p w14:paraId="0F9D6084" w14:textId="2FF2C866" w:rsidR="006F12EA" w:rsidRPr="00514695" w:rsidRDefault="00120F38" w:rsidP="006F12EA">
      <w:pPr>
        <w:tabs>
          <w:tab w:val="left" w:pos="1210"/>
          <w:tab w:val="left" w:pos="1982"/>
          <w:tab w:val="left" w:pos="3965"/>
          <w:tab w:val="left" w:pos="5158"/>
          <w:tab w:val="left" w:pos="6132"/>
        </w:tabs>
        <w:autoSpaceDE w:val="0"/>
        <w:autoSpaceDN w:val="0"/>
        <w:adjustRightInd w:val="0"/>
      </w:pPr>
      <w:r w:rsidRPr="005266ED">
        <w:t xml:space="preserve">At Coastline, </w:t>
      </w:r>
      <w:r w:rsidR="005266ED" w:rsidRPr="005266ED">
        <w:t>females fill more than 50% of all position</w:t>
      </w:r>
      <w:r w:rsidR="00C35897">
        <w:t xml:space="preserve">s </w:t>
      </w:r>
      <w:r w:rsidR="005266ED" w:rsidRPr="005266ED">
        <w:t xml:space="preserve">across all employee groups at Coastline. However, </w:t>
      </w:r>
      <w:r w:rsidRPr="005266ED">
        <w:t>t</w:t>
      </w:r>
      <w:r w:rsidR="00131285" w:rsidRPr="005266ED">
        <w:t>he p</w:t>
      </w:r>
      <w:r w:rsidR="00E95ED4" w:rsidRPr="005266ED">
        <w:t>roportions</w:t>
      </w:r>
      <w:r w:rsidR="00131285" w:rsidRPr="005266ED">
        <w:t xml:space="preserve"> </w:t>
      </w:r>
      <w:r w:rsidR="00E95ED4" w:rsidRPr="005266ED">
        <w:t>have</w:t>
      </w:r>
      <w:r w:rsidR="00131285" w:rsidRPr="005266ED">
        <w:t xml:space="preserve"> declined </w:t>
      </w:r>
      <w:r w:rsidR="005266ED" w:rsidRPr="005266ED">
        <w:t>across</w:t>
      </w:r>
      <w:r w:rsidR="00E95ED4" w:rsidRPr="005266ED">
        <w:t xml:space="preserve"> all employee groups. There has been a decline </w:t>
      </w:r>
      <w:r w:rsidR="00E95ED4" w:rsidRPr="00514695">
        <w:t>of 6</w:t>
      </w:r>
      <w:r w:rsidR="00131285" w:rsidRPr="00514695">
        <w:t xml:space="preserve">% </w:t>
      </w:r>
      <w:r w:rsidR="00E95ED4" w:rsidRPr="00514695">
        <w:t xml:space="preserve">of women faculty, 7% decline for classified, and 5% decline in </w:t>
      </w:r>
      <w:r w:rsidR="005266ED" w:rsidRPr="00514695">
        <w:t>female</w:t>
      </w:r>
      <w:r w:rsidR="00E95ED4" w:rsidRPr="00514695">
        <w:t xml:space="preserve"> </w:t>
      </w:r>
      <w:r w:rsidR="00131285" w:rsidRPr="00514695">
        <w:t>administrators/managers.</w:t>
      </w:r>
      <w:r w:rsidR="00E95ED4" w:rsidRPr="00514695">
        <w:t xml:space="preserve"> </w:t>
      </w:r>
      <w:r w:rsidR="005266ED" w:rsidRPr="00514695">
        <w:t>For</w:t>
      </w:r>
      <w:r w:rsidR="00E95ED4" w:rsidRPr="00514695">
        <w:t xml:space="preserve"> </w:t>
      </w:r>
      <w:r w:rsidR="00131285" w:rsidRPr="00514695">
        <w:t>Golden West</w:t>
      </w:r>
      <w:r w:rsidR="005266ED" w:rsidRPr="00514695">
        <w:t>, women account for more than 60% of faculty and classified staff but less than 50% of the managers. Although the percentages have increase for each group</w:t>
      </w:r>
      <w:r w:rsidR="00C35897">
        <w:t>,</w:t>
      </w:r>
      <w:r w:rsidR="005266ED" w:rsidRPr="00514695">
        <w:t xml:space="preserve"> </w:t>
      </w:r>
      <w:r w:rsidR="003B2A9A" w:rsidRPr="00514695">
        <w:t xml:space="preserve">Orange Coast </w:t>
      </w:r>
      <w:r w:rsidR="005266ED" w:rsidRPr="00514695">
        <w:t xml:space="preserve">is similar to Golden West. Women hold 50% of the faculty positions, nearly </w:t>
      </w:r>
      <w:r w:rsidR="00E84827" w:rsidRPr="00514695">
        <w:t>59</w:t>
      </w:r>
      <w:r w:rsidR="005266ED" w:rsidRPr="00514695">
        <w:t>% of the classified positions, but 4</w:t>
      </w:r>
      <w:r w:rsidR="00E84827" w:rsidRPr="00514695">
        <w:t>1</w:t>
      </w:r>
      <w:r w:rsidR="005266ED" w:rsidRPr="00514695">
        <w:t>% of the management positions. The percentages for faculty and classified have remained steady. Management percentages have increased each of the last three years from 2</w:t>
      </w:r>
      <w:r w:rsidR="00E84827" w:rsidRPr="00514695">
        <w:t>9</w:t>
      </w:r>
      <w:r w:rsidR="005266ED" w:rsidRPr="00514695">
        <w:t>% to 41%.</w:t>
      </w:r>
    </w:p>
    <w:p w14:paraId="628649DD" w14:textId="77777777" w:rsidR="005266ED" w:rsidRPr="00B9364B" w:rsidRDefault="005266ED" w:rsidP="006F12EA">
      <w:pPr>
        <w:tabs>
          <w:tab w:val="left" w:pos="1210"/>
          <w:tab w:val="left" w:pos="1982"/>
          <w:tab w:val="left" w:pos="3965"/>
          <w:tab w:val="left" w:pos="5158"/>
          <w:tab w:val="left" w:pos="6132"/>
        </w:tabs>
        <w:autoSpaceDE w:val="0"/>
        <w:autoSpaceDN w:val="0"/>
        <w:adjustRightInd w:val="0"/>
        <w:rPr>
          <w:color w:val="FF0000"/>
        </w:rPr>
      </w:pPr>
    </w:p>
    <w:p w14:paraId="0F9D6088" w14:textId="4749D55C" w:rsidR="004D5D22" w:rsidRPr="00B9364B" w:rsidRDefault="00AA6D5E" w:rsidP="004D5D22">
      <w:pPr>
        <w:autoSpaceDE w:val="0"/>
        <w:autoSpaceDN w:val="0"/>
        <w:adjustRightInd w:val="0"/>
        <w:jc w:val="center"/>
        <w:rPr>
          <w:bCs/>
          <w:color w:val="FF0000"/>
        </w:rPr>
      </w:pPr>
      <w:r w:rsidRPr="00B9364B">
        <w:rPr>
          <w:rFonts w:eastAsia="Franklin Gothic Book" w:cs="Times New Roman"/>
          <w:b/>
          <w:noProof/>
          <w:color w:val="FF0000"/>
        </w:rPr>
        <w:drawing>
          <wp:inline distT="0" distB="0" distL="0" distR="0" wp14:anchorId="57FA0751" wp14:editId="1DB53055">
            <wp:extent cx="6877050" cy="1820173"/>
            <wp:effectExtent l="0" t="0" r="0" b="889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01FC8E0" w14:textId="65E48D64" w:rsidR="00DE2B89" w:rsidRPr="00B9364B" w:rsidRDefault="00DE2B89" w:rsidP="00B942D2">
      <w:pPr>
        <w:jc w:val="center"/>
        <w:rPr>
          <w:color w:val="FF0000"/>
        </w:rPr>
      </w:pPr>
      <w:r w:rsidRPr="005E62F1">
        <w:rPr>
          <w:rFonts w:eastAsia="Franklin Gothic Book" w:cs="Times New Roman"/>
          <w:b/>
          <w:noProof/>
          <w:sz w:val="20"/>
        </w:rPr>
        <w:drawing>
          <wp:inline distT="0" distB="0" distL="0" distR="0" wp14:anchorId="23D994DD" wp14:editId="382B4233">
            <wp:extent cx="6517843" cy="219964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C111517" w14:textId="77777777" w:rsidR="005E62F1" w:rsidRPr="00B9364B" w:rsidRDefault="005E62F1" w:rsidP="00B942D2">
      <w:pPr>
        <w:jc w:val="center"/>
        <w:rPr>
          <w:color w:val="FF0000"/>
        </w:rPr>
      </w:pPr>
    </w:p>
    <w:p w14:paraId="0F9D608D" w14:textId="6E8E4694" w:rsidR="002F6EE2" w:rsidRPr="00B9364B" w:rsidRDefault="00630188" w:rsidP="00477FE3">
      <w:pPr>
        <w:jc w:val="center"/>
        <w:rPr>
          <w:color w:val="FF0000"/>
        </w:rPr>
      </w:pPr>
      <w:r w:rsidRPr="00B9364B">
        <w:rPr>
          <w:rFonts w:eastAsia="Franklin Gothic Book" w:cs="Times New Roman"/>
          <w:b/>
          <w:noProof/>
          <w:color w:val="FF0000"/>
        </w:rPr>
        <w:lastRenderedPageBreak/>
        <w:drawing>
          <wp:inline distT="0" distB="0" distL="0" distR="0" wp14:anchorId="119F9E8D" wp14:editId="476972A9">
            <wp:extent cx="6532397" cy="2286000"/>
            <wp:effectExtent l="0" t="0" r="1905"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30A637F" w14:textId="77777777" w:rsidR="00814F0C" w:rsidRPr="00B9364B" w:rsidRDefault="00814F0C" w:rsidP="00814F0C">
      <w:pPr>
        <w:autoSpaceDE w:val="0"/>
        <w:autoSpaceDN w:val="0"/>
        <w:adjustRightInd w:val="0"/>
        <w:rPr>
          <w:color w:val="FF0000"/>
          <w:sz w:val="16"/>
          <w:szCs w:val="16"/>
        </w:rPr>
      </w:pPr>
    </w:p>
    <w:p w14:paraId="0F9D608E" w14:textId="3853AB92" w:rsidR="0061126A" w:rsidRPr="00AA6E69" w:rsidRDefault="00063ACA" w:rsidP="00814F0C">
      <w:pPr>
        <w:autoSpaceDE w:val="0"/>
        <w:autoSpaceDN w:val="0"/>
        <w:adjustRightInd w:val="0"/>
        <w:rPr>
          <w:sz w:val="16"/>
          <w:szCs w:val="16"/>
        </w:rPr>
      </w:pPr>
      <w:r w:rsidRPr="00AA6E69">
        <w:rPr>
          <w:sz w:val="16"/>
          <w:szCs w:val="16"/>
        </w:rPr>
        <w:t xml:space="preserve">Source: </w:t>
      </w:r>
      <w:r w:rsidR="00AA6E69" w:rsidRPr="00AA6E69">
        <w:rPr>
          <w:sz w:val="16"/>
          <w:szCs w:val="16"/>
        </w:rPr>
        <w:t>Employee Profile Cube</w:t>
      </w:r>
    </w:p>
    <w:p w14:paraId="0F9D608F" w14:textId="2D2F68FD" w:rsidR="006F12EA" w:rsidRPr="000B6414" w:rsidRDefault="006F12EA" w:rsidP="00887ADE">
      <w:pPr>
        <w:pStyle w:val="Heading2"/>
        <w:rPr>
          <w:color w:val="auto"/>
        </w:rPr>
      </w:pPr>
      <w:bookmarkStart w:id="114" w:name="_Toc341183254"/>
      <w:bookmarkStart w:id="115" w:name="_Toc506217433"/>
      <w:r w:rsidRPr="000B6414">
        <w:rPr>
          <w:color w:val="auto"/>
        </w:rPr>
        <w:t xml:space="preserve">Ethnic Composition of </w:t>
      </w:r>
      <w:r w:rsidR="008F1E17" w:rsidRPr="000B6414">
        <w:rPr>
          <w:color w:val="auto"/>
        </w:rPr>
        <w:t>Permanent Faculty, Classified Staff and Administrators/Managers</w:t>
      </w:r>
      <w:bookmarkEnd w:id="114"/>
      <w:bookmarkEnd w:id="115"/>
    </w:p>
    <w:p w14:paraId="0F9D6090" w14:textId="30D176DE" w:rsidR="006F12EA" w:rsidRPr="00B9364B" w:rsidRDefault="006F12EA" w:rsidP="006F12EA">
      <w:pPr>
        <w:autoSpaceDE w:val="0"/>
        <w:autoSpaceDN w:val="0"/>
        <w:adjustRightInd w:val="0"/>
        <w:rPr>
          <w:color w:val="FF0000"/>
        </w:rPr>
      </w:pPr>
    </w:p>
    <w:p w14:paraId="3AA972D2" w14:textId="439007DC" w:rsidR="00814F0C" w:rsidRPr="00B9364B" w:rsidRDefault="00EF5005" w:rsidP="00B942D2">
      <w:pPr>
        <w:jc w:val="center"/>
        <w:rPr>
          <w:b/>
          <w:color w:val="FF0000"/>
          <w:sz w:val="20"/>
          <w:szCs w:val="20"/>
        </w:rPr>
      </w:pPr>
      <w:r w:rsidRPr="00B9364B">
        <w:rPr>
          <w:rFonts w:eastAsia="Franklin Gothic Book" w:cs="Times New Roman"/>
          <w:b/>
          <w:noProof/>
          <w:color w:val="FF0000"/>
        </w:rPr>
        <w:drawing>
          <wp:inline distT="0" distB="0" distL="0" distR="0" wp14:anchorId="078A64EF" wp14:editId="5D250D59">
            <wp:extent cx="6924675" cy="194807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F479B6E" w14:textId="77777777" w:rsidR="009D45C3" w:rsidRPr="00B9364B" w:rsidRDefault="009D45C3" w:rsidP="00B942D2">
      <w:pPr>
        <w:jc w:val="center"/>
        <w:rPr>
          <w:color w:val="FF0000"/>
        </w:rPr>
      </w:pPr>
    </w:p>
    <w:p w14:paraId="50A289DE" w14:textId="77777777" w:rsidR="00EF5005" w:rsidRPr="00B9364B" w:rsidRDefault="00EF5005" w:rsidP="00B942D2">
      <w:pPr>
        <w:jc w:val="center"/>
        <w:rPr>
          <w:color w:val="FF0000"/>
        </w:rPr>
      </w:pPr>
    </w:p>
    <w:p w14:paraId="5B1FE2F2" w14:textId="1888C7D3" w:rsidR="009D45C3" w:rsidRPr="00B9364B" w:rsidRDefault="00EF5005" w:rsidP="00B942D2">
      <w:pPr>
        <w:jc w:val="center"/>
        <w:rPr>
          <w:color w:val="FF0000"/>
          <w:sz w:val="20"/>
          <w:szCs w:val="20"/>
        </w:rPr>
      </w:pPr>
      <w:r w:rsidRPr="00B9364B">
        <w:rPr>
          <w:rFonts w:eastAsia="Franklin Gothic Book" w:cs="Times New Roman"/>
          <w:b/>
          <w:noProof/>
          <w:color w:val="FF0000"/>
        </w:rPr>
        <w:drawing>
          <wp:inline distT="0" distB="0" distL="0" distR="0" wp14:anchorId="5266BB06" wp14:editId="5F6C5B19">
            <wp:extent cx="6851523" cy="1892300"/>
            <wp:effectExtent l="0" t="0" r="6985"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68FF03B" w14:textId="77777777" w:rsidR="00EF5005" w:rsidRPr="00B9364B" w:rsidRDefault="00EF5005" w:rsidP="00EF5005">
      <w:pPr>
        <w:rPr>
          <w:color w:val="FF0000"/>
          <w:sz w:val="20"/>
          <w:szCs w:val="20"/>
        </w:rPr>
      </w:pPr>
    </w:p>
    <w:p w14:paraId="11A6BF47" w14:textId="430224F8" w:rsidR="00814F0C" w:rsidRPr="00B9364B" w:rsidRDefault="00EF5005" w:rsidP="00F03736">
      <w:pPr>
        <w:jc w:val="center"/>
        <w:rPr>
          <w:color w:val="FF0000"/>
          <w:sz w:val="20"/>
          <w:szCs w:val="20"/>
        </w:rPr>
      </w:pPr>
      <w:r w:rsidRPr="00B9364B">
        <w:rPr>
          <w:rFonts w:eastAsia="Franklin Gothic Book" w:cs="Times New Roman"/>
          <w:b/>
          <w:noProof/>
          <w:color w:val="FF0000"/>
        </w:rPr>
        <w:drawing>
          <wp:inline distT="0" distB="0" distL="0" distR="0" wp14:anchorId="58BD8E4D" wp14:editId="2B44B154">
            <wp:extent cx="6924675" cy="1884459"/>
            <wp:effectExtent l="0" t="0" r="0" b="190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9920BEE" w14:textId="77777777" w:rsidR="0034358D" w:rsidRPr="000B6414" w:rsidRDefault="0034358D" w:rsidP="008F2436">
      <w:pPr>
        <w:autoSpaceDE w:val="0"/>
        <w:autoSpaceDN w:val="0"/>
        <w:adjustRightInd w:val="0"/>
        <w:rPr>
          <w:sz w:val="16"/>
          <w:szCs w:val="16"/>
        </w:rPr>
      </w:pPr>
    </w:p>
    <w:p w14:paraId="52E099B4" w14:textId="7AB849F5" w:rsidR="0034358D" w:rsidRPr="000B6414" w:rsidRDefault="00063ACA" w:rsidP="008F2436">
      <w:pPr>
        <w:autoSpaceDE w:val="0"/>
        <w:autoSpaceDN w:val="0"/>
        <w:adjustRightInd w:val="0"/>
        <w:rPr>
          <w:sz w:val="16"/>
          <w:szCs w:val="16"/>
        </w:rPr>
      </w:pPr>
      <w:r w:rsidRPr="000B6414">
        <w:rPr>
          <w:sz w:val="16"/>
          <w:szCs w:val="16"/>
        </w:rPr>
        <w:t xml:space="preserve">Source: </w:t>
      </w:r>
      <w:r w:rsidR="006D77EE" w:rsidRPr="000B6414">
        <w:rPr>
          <w:sz w:val="16"/>
          <w:szCs w:val="16"/>
        </w:rPr>
        <w:t>Employee Profile Cube</w:t>
      </w:r>
    </w:p>
    <w:p w14:paraId="27E46102" w14:textId="77777777" w:rsidR="006D77EE" w:rsidRDefault="006D77EE">
      <w:pPr>
        <w:rPr>
          <w:rFonts w:asciiTheme="majorHAnsi" w:eastAsiaTheme="majorEastAsia" w:hAnsiTheme="majorHAnsi" w:cstheme="majorBidi"/>
          <w:b/>
          <w:bCs/>
          <w:color w:val="FF0000"/>
          <w:sz w:val="26"/>
          <w:szCs w:val="26"/>
        </w:rPr>
      </w:pPr>
      <w:bookmarkStart w:id="116" w:name="_Toc341183255"/>
      <w:r>
        <w:rPr>
          <w:color w:val="FF0000"/>
        </w:rPr>
        <w:lastRenderedPageBreak/>
        <w:br w:type="page"/>
      </w:r>
    </w:p>
    <w:p w14:paraId="0F9D609C" w14:textId="720E4119" w:rsidR="006F12EA" w:rsidRPr="00B9765D" w:rsidRDefault="006F12EA" w:rsidP="004D47F9">
      <w:pPr>
        <w:pStyle w:val="Heading2"/>
        <w:rPr>
          <w:rFonts w:asciiTheme="minorHAnsi" w:hAnsiTheme="minorHAnsi"/>
          <w:color w:val="auto"/>
          <w:sz w:val="22"/>
          <w:szCs w:val="22"/>
        </w:rPr>
      </w:pPr>
      <w:bookmarkStart w:id="117" w:name="_Toc506217434"/>
      <w:r w:rsidRPr="00B9765D">
        <w:rPr>
          <w:rFonts w:asciiTheme="minorHAnsi" w:hAnsiTheme="minorHAnsi"/>
          <w:color w:val="auto"/>
          <w:sz w:val="22"/>
          <w:szCs w:val="22"/>
        </w:rPr>
        <w:lastRenderedPageBreak/>
        <w:t>Action</w:t>
      </w:r>
      <w:r w:rsidR="00BB7FF6" w:rsidRPr="00B9765D">
        <w:rPr>
          <w:rFonts w:asciiTheme="minorHAnsi" w:hAnsiTheme="minorHAnsi"/>
          <w:color w:val="auto"/>
          <w:sz w:val="22"/>
          <w:szCs w:val="22"/>
        </w:rPr>
        <w:t>s</w:t>
      </w:r>
      <w:r w:rsidRPr="00B9765D">
        <w:rPr>
          <w:rFonts w:asciiTheme="minorHAnsi" w:hAnsiTheme="minorHAnsi"/>
          <w:color w:val="auto"/>
          <w:sz w:val="22"/>
          <w:szCs w:val="22"/>
        </w:rPr>
        <w:t xml:space="preserve"> in the Area of </w:t>
      </w:r>
      <w:r w:rsidR="008F1E17" w:rsidRPr="00B9765D">
        <w:rPr>
          <w:rFonts w:asciiTheme="minorHAnsi" w:hAnsiTheme="minorHAnsi"/>
          <w:color w:val="auto"/>
          <w:sz w:val="22"/>
          <w:szCs w:val="22"/>
        </w:rPr>
        <w:t xml:space="preserve">Permanent </w:t>
      </w:r>
      <w:r w:rsidRPr="00B9765D">
        <w:rPr>
          <w:rFonts w:asciiTheme="minorHAnsi" w:hAnsiTheme="minorHAnsi"/>
          <w:color w:val="auto"/>
          <w:sz w:val="22"/>
          <w:szCs w:val="22"/>
        </w:rPr>
        <w:t xml:space="preserve">Faculty, </w:t>
      </w:r>
      <w:r w:rsidR="008F1E17" w:rsidRPr="00B9765D">
        <w:rPr>
          <w:rFonts w:asciiTheme="minorHAnsi" w:hAnsiTheme="minorHAnsi"/>
          <w:color w:val="auto"/>
          <w:sz w:val="22"/>
          <w:szCs w:val="22"/>
        </w:rPr>
        <w:t xml:space="preserve">Classified </w:t>
      </w:r>
      <w:r w:rsidRPr="00B9765D">
        <w:rPr>
          <w:rFonts w:asciiTheme="minorHAnsi" w:hAnsiTheme="minorHAnsi"/>
          <w:color w:val="auto"/>
          <w:sz w:val="22"/>
          <w:szCs w:val="22"/>
        </w:rPr>
        <w:t>Staff and Administrators/Managers</w:t>
      </w:r>
      <w:bookmarkEnd w:id="116"/>
      <w:bookmarkEnd w:id="117"/>
    </w:p>
    <w:p w14:paraId="0F9D609D" w14:textId="6BE0983B" w:rsidR="008F1E17" w:rsidRPr="00B9765D" w:rsidRDefault="005F551F" w:rsidP="008F1E17">
      <w:pPr>
        <w:autoSpaceDE w:val="0"/>
        <w:autoSpaceDN w:val="0"/>
        <w:adjustRightInd w:val="0"/>
      </w:pPr>
      <w:r w:rsidRPr="00B9765D">
        <w:t>The District and the C</w:t>
      </w:r>
      <w:r w:rsidR="008F1E17" w:rsidRPr="00B9765D">
        <w:t>olleges have made concerted efforts in the outreach and recruitment process for filling vacancies to increas</w:t>
      </w:r>
      <w:r w:rsidR="001B3714" w:rsidRPr="00B9765D">
        <w:t>e the number of applications from</w:t>
      </w:r>
      <w:r w:rsidR="008F1E17" w:rsidRPr="00B9765D">
        <w:t xml:space="preserve"> qualified minorities and other underrepresented groups. The efforts will continue in this important area.</w:t>
      </w:r>
    </w:p>
    <w:p w14:paraId="33FA925F" w14:textId="77777777" w:rsidR="00B9765D" w:rsidRPr="00B9765D" w:rsidRDefault="00B9765D" w:rsidP="008F1E17">
      <w:pPr>
        <w:autoSpaceDE w:val="0"/>
        <w:autoSpaceDN w:val="0"/>
        <w:adjustRightInd w:val="0"/>
      </w:pPr>
    </w:p>
    <w:p w14:paraId="22A65FFC" w14:textId="6B1B86E4" w:rsidR="00B9765D" w:rsidRPr="00B9765D" w:rsidRDefault="00B9765D" w:rsidP="00B9765D">
      <w:pPr>
        <w:autoSpaceDE w:val="0"/>
        <w:autoSpaceDN w:val="0"/>
        <w:adjustRightInd w:val="0"/>
      </w:pPr>
      <w:r w:rsidRPr="00B9765D">
        <w:t xml:space="preserve">The District-wide Strategic Plan 2014-17, approved by the </w:t>
      </w:r>
      <w:r w:rsidR="001C041A">
        <w:t>Board in November 2014, included</w:t>
      </w:r>
      <w:r w:rsidRPr="00B9765D">
        <w:t xml:space="preserve"> the goal of providing the appropriate number of full</w:t>
      </w:r>
      <w:r w:rsidRPr="00B9765D">
        <w:rPr>
          <w:rFonts w:ascii="Cambria Math" w:hAnsi="Cambria Math" w:cs="Cambria Math"/>
        </w:rPr>
        <w:t>‐</w:t>
      </w:r>
      <w:r w:rsidRPr="00B9765D">
        <w:t>time faculty needed by the colleges and established the commitment that the District will have at a minimum a number of full-time faculty of 2% above FON ev</w:t>
      </w:r>
      <w:r w:rsidR="00D007ED">
        <w:t>ery fiscal year. This target was</w:t>
      </w:r>
      <w:r w:rsidRPr="00B9765D">
        <w:t xml:space="preserve"> </w:t>
      </w:r>
      <w:r w:rsidR="001C041A">
        <w:t>exceeded</w:t>
      </w:r>
      <w:r w:rsidRPr="00B9765D">
        <w:t xml:space="preserve"> </w:t>
      </w:r>
      <w:r w:rsidR="00D007ED">
        <w:t>through 2015-16</w:t>
      </w:r>
      <w:r w:rsidR="001C041A">
        <w:t>, it was not met in 2016-17, and is exceeded in 2017-18.</w:t>
      </w:r>
    </w:p>
    <w:p w14:paraId="757A3B96" w14:textId="77777777" w:rsidR="00B9765D" w:rsidRPr="00B9765D" w:rsidRDefault="00B9765D" w:rsidP="00B9765D">
      <w:pPr>
        <w:autoSpaceDE w:val="0"/>
        <w:autoSpaceDN w:val="0"/>
        <w:adjustRightInd w:val="0"/>
      </w:pPr>
    </w:p>
    <w:p w14:paraId="63BD039D" w14:textId="1A12D390" w:rsidR="00B9765D" w:rsidRPr="00B9765D" w:rsidRDefault="00B9765D" w:rsidP="00B9765D">
      <w:pPr>
        <w:autoSpaceDE w:val="0"/>
        <w:autoSpaceDN w:val="0"/>
        <w:adjustRightInd w:val="0"/>
      </w:pPr>
      <w:r w:rsidRPr="00B9765D">
        <w:t>Human Resources has engaged constituents in the following: the implementation of new faculty hiring procedures; creation of efficient faculty search timelines; development and review of job announcement templates to attract talented and diverse applicants; development and review of search/selection committee samples for promoting a climate of equity, inclusion, and diversity; participation in outreach and marketing at the California Community College Job Fair; development of faculty hiring workshop; development of Coast Colleges Look Book (Work Lean Play Campaign); and Human Resources training of the EEO and Faculty Diversity Summit and the EEO and Equity in Faculty Hiring/Regional Training.</w:t>
      </w:r>
    </w:p>
    <w:p w14:paraId="6D4CE7AB" w14:textId="77777777" w:rsidR="00B9765D" w:rsidRPr="00B9765D" w:rsidRDefault="00B9765D" w:rsidP="00B9765D">
      <w:pPr>
        <w:autoSpaceDE w:val="0"/>
        <w:autoSpaceDN w:val="0"/>
        <w:adjustRightInd w:val="0"/>
      </w:pPr>
    </w:p>
    <w:p w14:paraId="2ECE1BDB" w14:textId="72938A78" w:rsidR="00B9765D" w:rsidRDefault="00D007ED" w:rsidP="00B9765D">
      <w:pPr>
        <w:autoSpaceDE w:val="0"/>
        <w:autoSpaceDN w:val="0"/>
        <w:adjustRightInd w:val="0"/>
      </w:pPr>
      <w:r>
        <w:t xml:space="preserve">The </w:t>
      </w:r>
      <w:r w:rsidR="00B9765D" w:rsidRPr="00B9765D">
        <w:t xml:space="preserve">FY </w:t>
      </w:r>
      <w:r>
        <w:t xml:space="preserve">2015-16 </w:t>
      </w:r>
      <w:r w:rsidR="00B9765D" w:rsidRPr="00B9765D">
        <w:t xml:space="preserve">State Budget identified $62.3 million to fund additional full-time faculty. These resources </w:t>
      </w:r>
      <w:r w:rsidR="001C041A">
        <w:t>we</w:t>
      </w:r>
      <w:r w:rsidR="00B9765D" w:rsidRPr="00B9765D">
        <w:t>re allocated to districts based on FTES counts. However, in order to facilitate the legislative intent of adding full-time faculty to the system, and moving toward equalization of faculty across districts, a weighting scheme ha</w:t>
      </w:r>
      <w:r w:rsidR="001C041A">
        <w:t>s been employed. Allocations were</w:t>
      </w:r>
      <w:r w:rsidR="00B9765D" w:rsidRPr="00B9765D">
        <w:t xml:space="preserve"> ranked across quintiles based on the ratio </w:t>
      </w:r>
      <w:r w:rsidR="00B9765D" w:rsidRPr="00B9765D">
        <w:lastRenderedPageBreak/>
        <w:t>of FTES to FON. Coast Community College District received approximately $1.7 million and will see its FON increased by 24.11. The District hired 25 new full-time faculty as a result of this added state funding.</w:t>
      </w:r>
    </w:p>
    <w:p w14:paraId="384ACC80" w14:textId="77777777" w:rsidR="005D7AF0" w:rsidRDefault="005D7AF0" w:rsidP="00B9765D">
      <w:pPr>
        <w:autoSpaceDE w:val="0"/>
        <w:autoSpaceDN w:val="0"/>
        <w:adjustRightInd w:val="0"/>
      </w:pPr>
    </w:p>
    <w:p w14:paraId="4F861165" w14:textId="05133D09" w:rsidR="005D7AF0" w:rsidRPr="004C6DDF" w:rsidRDefault="005D7AF0" w:rsidP="005D7AF0">
      <w:r w:rsidRPr="004C6DDF">
        <w:t>Training, support, and resources are required by institutions for staff and leaders to help create inclusive working and learning environments. Ally programs offer college</w:t>
      </w:r>
      <w:r>
        <w:t xml:space="preserve"> and District Office</w:t>
      </w:r>
      <w:r w:rsidRPr="004C6DDF">
        <w:t xml:space="preserve"> personnel the foundational education and practical strategies to improve services and remove barriers for underserved, historically marginalized, and disproportionally impacted student populations. The </w:t>
      </w:r>
      <w:r>
        <w:t>District</w:t>
      </w:r>
      <w:r w:rsidRPr="004C6DDF">
        <w:t xml:space="preserve"> provided the following </w:t>
      </w:r>
      <w:r>
        <w:t>A</w:t>
      </w:r>
      <w:r w:rsidRPr="004C6DDF">
        <w:t>lly training workshops: Autism Ally, LGBTQ/SafeZone, DREAMER/UndocuAlly, VetNet Ally.</w:t>
      </w:r>
    </w:p>
    <w:p w14:paraId="289415CE" w14:textId="77777777" w:rsidR="005D7AF0" w:rsidRPr="00B9765D" w:rsidRDefault="005D7AF0" w:rsidP="00B9765D">
      <w:pPr>
        <w:autoSpaceDE w:val="0"/>
        <w:autoSpaceDN w:val="0"/>
        <w:adjustRightInd w:val="0"/>
      </w:pPr>
    </w:p>
    <w:p w14:paraId="0F9D609E" w14:textId="77777777" w:rsidR="00F30822" w:rsidRPr="00B9364B" w:rsidRDefault="00F30822" w:rsidP="008F1E17">
      <w:pPr>
        <w:autoSpaceDE w:val="0"/>
        <w:autoSpaceDN w:val="0"/>
        <w:adjustRightInd w:val="0"/>
        <w:rPr>
          <w:color w:val="FF0000"/>
        </w:rPr>
      </w:pPr>
    </w:p>
    <w:p w14:paraId="0F9D60A0" w14:textId="77777777" w:rsidR="00D000C5" w:rsidRPr="00B9364B" w:rsidRDefault="00D000C5" w:rsidP="00BB7FF6">
      <w:pPr>
        <w:autoSpaceDE w:val="0"/>
        <w:autoSpaceDN w:val="0"/>
        <w:adjustRightInd w:val="0"/>
        <w:rPr>
          <w:color w:val="FF0000"/>
        </w:rPr>
      </w:pPr>
    </w:p>
    <w:p w14:paraId="469B16E9" w14:textId="77777777" w:rsidR="00462E00" w:rsidRDefault="00462E00">
      <w:pPr>
        <w:pStyle w:val="Heading1"/>
        <w:rPr>
          <w:color w:val="FF0000"/>
        </w:rPr>
      </w:pPr>
      <w:bookmarkStart w:id="118" w:name="_Toc341183256"/>
      <w:r>
        <w:rPr>
          <w:color w:val="FF0000"/>
        </w:rPr>
        <w:br w:type="page"/>
      </w:r>
    </w:p>
    <w:p w14:paraId="746561EB" w14:textId="77777777" w:rsidR="002A30E5" w:rsidRPr="008553AE" w:rsidRDefault="002A30E5" w:rsidP="002A30E5">
      <w:pPr>
        <w:pStyle w:val="Heading1"/>
        <w:rPr>
          <w:color w:val="auto"/>
        </w:rPr>
      </w:pPr>
      <w:bookmarkStart w:id="119" w:name="_Toc506217435"/>
      <w:bookmarkEnd w:id="118"/>
      <w:r w:rsidRPr="008553AE">
        <w:rPr>
          <w:color w:val="auto"/>
        </w:rPr>
        <w:lastRenderedPageBreak/>
        <w:t>CHAPTER IV: FISCAL SUPPORT</w:t>
      </w:r>
      <w:bookmarkEnd w:id="119"/>
    </w:p>
    <w:p w14:paraId="706A6390" w14:textId="77777777" w:rsidR="002A30E5" w:rsidRPr="008553AE" w:rsidRDefault="002A30E5" w:rsidP="002A30E5">
      <w:pPr>
        <w:rPr>
          <w:sz w:val="16"/>
          <w:szCs w:val="16"/>
        </w:rPr>
      </w:pPr>
    </w:p>
    <w:p w14:paraId="3C7A7A6F" w14:textId="77777777" w:rsidR="002A30E5" w:rsidRPr="008553AE" w:rsidRDefault="002A30E5" w:rsidP="002A30E5">
      <w:pPr>
        <w:autoSpaceDE w:val="0"/>
        <w:autoSpaceDN w:val="0"/>
        <w:adjustRightInd w:val="0"/>
      </w:pPr>
      <w:r w:rsidRPr="008553AE">
        <w:t xml:space="preserve">The fiscal health of the District is an ongoing key area of emphasis district-wide. </w:t>
      </w:r>
    </w:p>
    <w:p w14:paraId="41B7B630" w14:textId="77777777" w:rsidR="002A30E5" w:rsidRPr="00B9364B" w:rsidRDefault="002A30E5" w:rsidP="002A30E5">
      <w:pPr>
        <w:autoSpaceDE w:val="0"/>
        <w:autoSpaceDN w:val="0"/>
        <w:adjustRightInd w:val="0"/>
        <w:rPr>
          <w:color w:val="FF0000"/>
          <w:sz w:val="16"/>
          <w:szCs w:val="16"/>
        </w:rPr>
      </w:pPr>
    </w:p>
    <w:p w14:paraId="3FD51C50" w14:textId="77777777" w:rsidR="002A30E5" w:rsidRPr="00305F31" w:rsidRDefault="002A30E5" w:rsidP="002A30E5">
      <w:pPr>
        <w:pStyle w:val="Heading2"/>
        <w:spacing w:before="0"/>
        <w:rPr>
          <w:color w:val="auto"/>
        </w:rPr>
      </w:pPr>
      <w:bookmarkStart w:id="120" w:name="_Toc288801618"/>
      <w:bookmarkStart w:id="121" w:name="_Toc341183257"/>
      <w:bookmarkStart w:id="122" w:name="_Toc506217436"/>
      <w:r w:rsidRPr="00305F31">
        <w:rPr>
          <w:color w:val="auto"/>
        </w:rPr>
        <w:t>State General Apportionment as a Percentage of Total Revenues</w:t>
      </w:r>
      <w:bookmarkEnd w:id="120"/>
      <w:bookmarkEnd w:id="121"/>
      <w:bookmarkEnd w:id="122"/>
    </w:p>
    <w:p w14:paraId="6DAC10D6" w14:textId="3151F716" w:rsidR="002A30E5" w:rsidRPr="00305F31" w:rsidRDefault="002A30E5" w:rsidP="002A30E5">
      <w:pPr>
        <w:keepNext/>
        <w:autoSpaceDE w:val="0"/>
        <w:autoSpaceDN w:val="0"/>
        <w:adjustRightInd w:val="0"/>
      </w:pPr>
      <w:r w:rsidRPr="00305F31">
        <w:t>The state apportionment process, which provides approximately 90% of the District’s unrestricted general fund operating revenues, consists of three primary resources including state aid, local property tax, and student fees.  As the District's local property tax and student fees increase, s</w:t>
      </w:r>
      <w:r w:rsidR="00B17422">
        <w:t xml:space="preserve">tate general apportionment </w:t>
      </w:r>
      <w:r w:rsidRPr="00305F31">
        <w:t>decline</w:t>
      </w:r>
      <w:r w:rsidR="00B17422">
        <w:t>s</w:t>
      </w:r>
      <w:r w:rsidRPr="00305F31">
        <w:t>. In the last five years, this percentage was at its highest (</w:t>
      </w:r>
      <w:r w:rsidR="00E11445">
        <w:t>10.59</w:t>
      </w:r>
      <w:r w:rsidRPr="00305F31">
        <w:t>%) in FY</w:t>
      </w:r>
      <w:r w:rsidR="00806EDD">
        <w:t xml:space="preserve"> </w:t>
      </w:r>
      <w:r w:rsidRPr="00305F31">
        <w:t>201</w:t>
      </w:r>
      <w:r w:rsidR="00E11445">
        <w:t>3</w:t>
      </w:r>
      <w:r w:rsidRPr="00305F31">
        <w:t>-1</w:t>
      </w:r>
      <w:r w:rsidR="00E11445">
        <w:t>4</w:t>
      </w:r>
      <w:r w:rsidRPr="00305F31">
        <w:t xml:space="preserve"> and stands at </w:t>
      </w:r>
      <w:r w:rsidR="00E11445">
        <w:t>5.86</w:t>
      </w:r>
      <w:r w:rsidRPr="00305F31">
        <w:t>% in FY</w:t>
      </w:r>
      <w:r w:rsidR="00806EDD">
        <w:t xml:space="preserve"> </w:t>
      </w:r>
      <w:r w:rsidRPr="00305F31">
        <w:t>201</w:t>
      </w:r>
      <w:r w:rsidR="00E11445">
        <w:t>6</w:t>
      </w:r>
      <w:r w:rsidRPr="00305F31">
        <w:t>-1</w:t>
      </w:r>
      <w:r w:rsidR="00E11445">
        <w:t>7</w:t>
      </w:r>
      <w:r w:rsidRPr="00305F31">
        <w:t xml:space="preserve">.  </w:t>
      </w:r>
    </w:p>
    <w:p w14:paraId="7D0ED188" w14:textId="77777777" w:rsidR="002A30E5" w:rsidRPr="00B9364B" w:rsidRDefault="002A30E5" w:rsidP="002A30E5">
      <w:pPr>
        <w:autoSpaceDE w:val="0"/>
        <w:autoSpaceDN w:val="0"/>
        <w:adjustRightInd w:val="0"/>
        <w:rPr>
          <w:color w:val="FF0000"/>
          <w:sz w:val="16"/>
          <w:szCs w:val="16"/>
        </w:rPr>
      </w:pPr>
    </w:p>
    <w:p w14:paraId="3C894EE9" w14:textId="77777777" w:rsidR="002A30E5" w:rsidRPr="00BA2D30" w:rsidRDefault="002A30E5" w:rsidP="002A30E5">
      <w:pPr>
        <w:autoSpaceDE w:val="0"/>
        <w:autoSpaceDN w:val="0"/>
        <w:adjustRightInd w:val="0"/>
        <w:jc w:val="center"/>
        <w:rPr>
          <w:rFonts w:ascii="Calibri" w:hAnsi="Calibri"/>
          <w:b/>
        </w:rPr>
      </w:pPr>
      <w:r w:rsidRPr="00BA2D30">
        <w:rPr>
          <w:rFonts w:ascii="Calibri" w:hAnsi="Calibri"/>
          <w:b/>
        </w:rPr>
        <w:t>State General Apportionment as a Percentage of Total district-wide Revenues (Unrestricted and Restricted)</w:t>
      </w:r>
    </w:p>
    <w:tbl>
      <w:tblPr>
        <w:tblW w:w="0" w:type="auto"/>
        <w:jc w:val="center"/>
        <w:tblLayout w:type="fixed"/>
        <w:tblLook w:val="04A0" w:firstRow="1" w:lastRow="0" w:firstColumn="1" w:lastColumn="0" w:noHBand="0" w:noVBand="1"/>
      </w:tblPr>
      <w:tblGrid>
        <w:gridCol w:w="2737"/>
        <w:gridCol w:w="1584"/>
        <w:gridCol w:w="1584"/>
        <w:gridCol w:w="1584"/>
        <w:gridCol w:w="1584"/>
        <w:gridCol w:w="1584"/>
      </w:tblGrid>
      <w:tr w:rsidR="00584187" w:rsidRPr="00BA2D30" w14:paraId="737FEEDA" w14:textId="77777777" w:rsidTr="001C42F5">
        <w:trPr>
          <w:trHeight w:val="302"/>
          <w:jc w:val="center"/>
        </w:trPr>
        <w:tc>
          <w:tcPr>
            <w:tcW w:w="2737"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7AA507E6" w14:textId="77777777" w:rsidR="00584187" w:rsidRPr="00BA2D30" w:rsidRDefault="00584187" w:rsidP="00584187">
            <w:pPr>
              <w:rPr>
                <w:rFonts w:ascii="Calibri" w:eastAsia="Times New Roman" w:hAnsi="Calibri" w:cs="Arial"/>
                <w:b/>
                <w:sz w:val="20"/>
                <w:szCs w:val="20"/>
              </w:rPr>
            </w:pPr>
            <w:r w:rsidRPr="00BA2D30">
              <w:rPr>
                <w:rFonts w:ascii="Calibri" w:eastAsia="Times New Roman" w:hAnsi="Calibri" w:cs="Arial"/>
                <w:b/>
                <w:sz w:val="20"/>
                <w:szCs w:val="20"/>
              </w:rPr>
              <w:t>State General Apportionment</w:t>
            </w:r>
          </w:p>
          <w:p w14:paraId="282CF8CB" w14:textId="77777777" w:rsidR="00584187" w:rsidRPr="00BA2D30" w:rsidRDefault="00584187" w:rsidP="00584187">
            <w:pPr>
              <w:rPr>
                <w:rFonts w:ascii="Calibri" w:eastAsia="Times New Roman" w:hAnsi="Calibri" w:cs="Arial"/>
                <w:b/>
                <w:sz w:val="20"/>
                <w:szCs w:val="20"/>
              </w:rPr>
            </w:pPr>
            <w:r w:rsidRPr="00BA2D30">
              <w:rPr>
                <w:rFonts w:ascii="Calibri" w:eastAsia="Times New Roman" w:hAnsi="Calibri" w:cs="Arial"/>
                <w:b/>
                <w:sz w:val="20"/>
                <w:szCs w:val="20"/>
              </w:rPr>
              <w:t>as a Percentage of Total</w:t>
            </w:r>
          </w:p>
          <w:p w14:paraId="60514F7F" w14:textId="77777777" w:rsidR="00584187" w:rsidRPr="00BA2D30" w:rsidRDefault="00584187" w:rsidP="00584187">
            <w:pPr>
              <w:rPr>
                <w:rFonts w:ascii="Calibri" w:eastAsia="Times New Roman" w:hAnsi="Calibri" w:cs="Arial"/>
                <w:b/>
                <w:sz w:val="20"/>
                <w:szCs w:val="20"/>
              </w:rPr>
            </w:pPr>
            <w:r w:rsidRPr="00BA2D30">
              <w:rPr>
                <w:rFonts w:ascii="Calibri" w:eastAsia="Times New Roman" w:hAnsi="Calibri" w:cs="Arial"/>
                <w:b/>
                <w:sz w:val="20"/>
                <w:szCs w:val="20"/>
              </w:rPr>
              <w:t>Revenues</w:t>
            </w:r>
          </w:p>
        </w:tc>
        <w:tc>
          <w:tcPr>
            <w:tcW w:w="1584"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2A63AD7B" w14:textId="245D32A2" w:rsidR="00584187" w:rsidRPr="00BA2D30" w:rsidRDefault="00584187" w:rsidP="00584187">
            <w:pPr>
              <w:jc w:val="center"/>
              <w:rPr>
                <w:rFonts w:ascii="Calibri" w:eastAsia="Times New Roman" w:hAnsi="Calibri" w:cs="Arial"/>
                <w:b/>
                <w:sz w:val="20"/>
                <w:szCs w:val="20"/>
              </w:rPr>
            </w:pPr>
            <w:r w:rsidRPr="00BA2D30">
              <w:rPr>
                <w:rFonts w:ascii="Calibri" w:eastAsia="Times New Roman" w:hAnsi="Calibri" w:cs="Arial"/>
                <w:b/>
                <w:sz w:val="20"/>
                <w:szCs w:val="20"/>
              </w:rPr>
              <w:t>FY  2012-13</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4D030234" w14:textId="206F3D06" w:rsidR="00584187" w:rsidRPr="00BA2D30" w:rsidRDefault="00584187" w:rsidP="00584187">
            <w:pPr>
              <w:jc w:val="center"/>
              <w:rPr>
                <w:rFonts w:ascii="Calibri" w:eastAsia="Times New Roman" w:hAnsi="Calibri" w:cs="Arial"/>
                <w:b/>
                <w:sz w:val="20"/>
                <w:szCs w:val="20"/>
              </w:rPr>
            </w:pPr>
            <w:r w:rsidRPr="00BA2D30">
              <w:rPr>
                <w:rFonts w:ascii="Calibri" w:eastAsia="Times New Roman" w:hAnsi="Calibri" w:cs="Arial"/>
                <w:b/>
                <w:sz w:val="20"/>
                <w:szCs w:val="20"/>
              </w:rPr>
              <w:t>FY  2013-14</w:t>
            </w:r>
          </w:p>
        </w:tc>
        <w:tc>
          <w:tcPr>
            <w:tcW w:w="1584" w:type="dxa"/>
            <w:tcBorders>
              <w:top w:val="single" w:sz="4" w:space="0" w:color="BFBFBF" w:themeColor="background1" w:themeShade="BF"/>
              <w:bottom w:val="single" w:sz="4" w:space="0" w:color="auto"/>
            </w:tcBorders>
            <w:shd w:val="clear" w:color="auto" w:fill="D9D9D9" w:themeFill="background1" w:themeFillShade="D9"/>
            <w:vAlign w:val="bottom"/>
          </w:tcPr>
          <w:p w14:paraId="0778596A" w14:textId="0EBF121C" w:rsidR="00584187" w:rsidRPr="00BA2D30" w:rsidRDefault="00584187" w:rsidP="00584187">
            <w:pPr>
              <w:jc w:val="center"/>
              <w:rPr>
                <w:rFonts w:ascii="Calibri" w:eastAsia="Times New Roman" w:hAnsi="Calibri" w:cs="Arial"/>
                <w:b/>
                <w:sz w:val="20"/>
                <w:szCs w:val="20"/>
              </w:rPr>
            </w:pPr>
            <w:r w:rsidRPr="00BA2D30">
              <w:rPr>
                <w:rFonts w:ascii="Calibri" w:eastAsia="Times New Roman" w:hAnsi="Calibri" w:cs="Arial"/>
                <w:b/>
                <w:sz w:val="20"/>
                <w:szCs w:val="20"/>
              </w:rPr>
              <w:t>FY  2014-15</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2F0AE6CA" w14:textId="0784433A" w:rsidR="00584187" w:rsidRPr="00BA2D30" w:rsidRDefault="00584187" w:rsidP="00584187">
            <w:pPr>
              <w:jc w:val="center"/>
              <w:rPr>
                <w:rFonts w:ascii="Calibri" w:eastAsia="Times New Roman" w:hAnsi="Calibri" w:cs="Arial"/>
                <w:b/>
                <w:sz w:val="20"/>
                <w:szCs w:val="20"/>
              </w:rPr>
            </w:pPr>
            <w:r w:rsidRPr="00BA2D30">
              <w:rPr>
                <w:rFonts w:ascii="Calibri" w:eastAsia="Times New Roman" w:hAnsi="Calibri" w:cs="Arial"/>
                <w:b/>
                <w:sz w:val="20"/>
                <w:szCs w:val="20"/>
              </w:rPr>
              <w:t>FY  2015-16</w:t>
            </w:r>
          </w:p>
        </w:tc>
        <w:tc>
          <w:tcPr>
            <w:tcW w:w="1584" w:type="dxa"/>
            <w:tcBorders>
              <w:top w:val="single" w:sz="4" w:space="0" w:color="BFBFBF" w:themeColor="background1" w:themeShade="BF"/>
              <w:bottom w:val="single" w:sz="4" w:space="0" w:color="auto"/>
            </w:tcBorders>
            <w:shd w:val="clear" w:color="auto" w:fill="D9D9D9" w:themeFill="background1" w:themeFillShade="D9"/>
            <w:vAlign w:val="bottom"/>
          </w:tcPr>
          <w:p w14:paraId="50449E76" w14:textId="45495F9C" w:rsidR="00584187" w:rsidRPr="00BA2D30" w:rsidRDefault="00584187" w:rsidP="00584187">
            <w:pPr>
              <w:jc w:val="center"/>
              <w:rPr>
                <w:rFonts w:ascii="Calibri" w:eastAsia="Times New Roman" w:hAnsi="Calibri" w:cs="Arial"/>
                <w:b/>
                <w:sz w:val="20"/>
                <w:szCs w:val="20"/>
              </w:rPr>
            </w:pPr>
            <w:r w:rsidRPr="00BA2D30">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BA2D30" w14:paraId="42509782" w14:textId="77777777" w:rsidTr="001C42F5">
        <w:trPr>
          <w:trHeight w:val="302"/>
          <w:jc w:val="center"/>
        </w:trPr>
        <w:tc>
          <w:tcPr>
            <w:tcW w:w="273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0DFB272C" w14:textId="77777777" w:rsidR="00584187" w:rsidRPr="00BA2D30" w:rsidRDefault="00584187" w:rsidP="00584187">
            <w:pPr>
              <w:jc w:val="right"/>
              <w:rPr>
                <w:rFonts w:ascii="Calibri" w:eastAsia="Times New Roman" w:hAnsi="Calibri" w:cs="Arial"/>
                <w:sz w:val="20"/>
                <w:szCs w:val="20"/>
              </w:rPr>
            </w:pPr>
            <w:r w:rsidRPr="00BA2D30">
              <w:rPr>
                <w:rFonts w:ascii="Calibri" w:eastAsia="Times New Roman" w:hAnsi="Calibri" w:cs="Arial"/>
                <w:sz w:val="20"/>
                <w:szCs w:val="20"/>
              </w:rPr>
              <w:t>State Apportionment</w:t>
            </w:r>
          </w:p>
        </w:tc>
        <w:tc>
          <w:tcPr>
            <w:tcW w:w="158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71A6DC4" w14:textId="27C6DEC4" w:rsidR="00584187" w:rsidRPr="00BA2D30" w:rsidRDefault="00584187" w:rsidP="00584187">
            <w:pPr>
              <w:jc w:val="center"/>
              <w:rPr>
                <w:rFonts w:ascii="Calibri" w:eastAsia="Times New Roman" w:hAnsi="Calibri" w:cs="Arial"/>
                <w:sz w:val="20"/>
                <w:szCs w:val="20"/>
              </w:rPr>
            </w:pPr>
            <w:r w:rsidRPr="00BA2D30">
              <w:rPr>
                <w:rFonts w:ascii="Calibri" w:hAnsi="Calibri"/>
              </w:rPr>
              <w:t>12,413,139</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4BF1ED8A" w14:textId="6B085022" w:rsidR="00584187" w:rsidRPr="00BA2D30" w:rsidRDefault="00584187" w:rsidP="00584187">
            <w:pPr>
              <w:jc w:val="center"/>
              <w:rPr>
                <w:rFonts w:ascii="Calibri" w:eastAsia="Times New Roman" w:hAnsi="Calibri" w:cs="Arial"/>
                <w:sz w:val="20"/>
                <w:szCs w:val="20"/>
              </w:rPr>
            </w:pPr>
            <w:r w:rsidRPr="00BA2D30">
              <w:rPr>
                <w:rFonts w:ascii="Calibri" w:hAnsi="Calibri"/>
              </w:rPr>
              <w:t>21,042,768</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1B32B25C" w14:textId="7BD32D3A" w:rsidR="00584187" w:rsidRPr="00BA2D30" w:rsidRDefault="00584187" w:rsidP="00584187">
            <w:pPr>
              <w:jc w:val="center"/>
              <w:rPr>
                <w:rFonts w:ascii="Calibri" w:eastAsia="Times New Roman" w:hAnsi="Calibri" w:cs="Arial"/>
                <w:sz w:val="20"/>
                <w:szCs w:val="20"/>
              </w:rPr>
            </w:pPr>
            <w:r w:rsidRPr="00BA2D30">
              <w:rPr>
                <w:rFonts w:ascii="Calibri" w:hAnsi="Calibri"/>
              </w:rPr>
              <w:t>16,494,645</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02F12421" w14:textId="5E938DC2" w:rsidR="00584187" w:rsidRPr="00BA2D30" w:rsidRDefault="00584187" w:rsidP="00584187">
            <w:pPr>
              <w:jc w:val="center"/>
              <w:rPr>
                <w:rFonts w:ascii="Calibri" w:eastAsia="Times New Roman" w:hAnsi="Calibri" w:cs="Arial"/>
                <w:sz w:val="20"/>
                <w:szCs w:val="20"/>
              </w:rPr>
            </w:pPr>
            <w:r w:rsidRPr="00BA2D30">
              <w:rPr>
                <w:rFonts w:ascii="Calibri" w:eastAsia="Times New Roman" w:hAnsi="Calibri" w:cs="Arial"/>
                <w:sz w:val="20"/>
                <w:szCs w:val="20"/>
              </w:rPr>
              <w:t>21,044,038</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7803BC02" w14:textId="2A0BD108" w:rsidR="00584187" w:rsidRPr="00BA2D30" w:rsidRDefault="002927CF" w:rsidP="00584187">
            <w:pPr>
              <w:jc w:val="center"/>
              <w:rPr>
                <w:rFonts w:ascii="Calibri" w:eastAsia="Times New Roman" w:hAnsi="Calibri" w:cs="Arial"/>
                <w:sz w:val="20"/>
                <w:szCs w:val="20"/>
              </w:rPr>
            </w:pPr>
            <w:r w:rsidRPr="002927CF">
              <w:rPr>
                <w:rFonts w:ascii="Calibri" w:eastAsia="Times New Roman" w:hAnsi="Calibri" w:cs="Arial"/>
                <w:sz w:val="20"/>
                <w:szCs w:val="20"/>
              </w:rPr>
              <w:t>14,751,504</w:t>
            </w:r>
          </w:p>
        </w:tc>
      </w:tr>
      <w:tr w:rsidR="00584187" w:rsidRPr="00BA2D30" w14:paraId="44D7D53E" w14:textId="77777777" w:rsidTr="001C42F5">
        <w:trPr>
          <w:trHeight w:val="302"/>
          <w:jc w:val="center"/>
        </w:trPr>
        <w:tc>
          <w:tcPr>
            <w:tcW w:w="273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8D12DAB" w14:textId="77777777" w:rsidR="00584187" w:rsidRPr="00BA2D30" w:rsidRDefault="00584187" w:rsidP="00584187">
            <w:pPr>
              <w:jc w:val="right"/>
              <w:rPr>
                <w:rFonts w:ascii="Calibri" w:eastAsia="Times New Roman" w:hAnsi="Calibri" w:cs="Arial"/>
                <w:sz w:val="20"/>
                <w:szCs w:val="20"/>
              </w:rPr>
            </w:pPr>
            <w:r w:rsidRPr="00BA2D30">
              <w:rPr>
                <w:rFonts w:ascii="Calibri" w:eastAsia="Times New Roman" w:hAnsi="Calibri" w:cs="Arial"/>
                <w:sz w:val="20"/>
                <w:szCs w:val="20"/>
              </w:rPr>
              <w:t>Total Revenues</w:t>
            </w:r>
          </w:p>
        </w:tc>
        <w:tc>
          <w:tcPr>
            <w:tcW w:w="158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BD1D1FC" w14:textId="18E94819" w:rsidR="00584187" w:rsidRPr="00BA2D30" w:rsidRDefault="00584187" w:rsidP="00584187">
            <w:pPr>
              <w:jc w:val="center"/>
              <w:rPr>
                <w:rFonts w:ascii="Calibri" w:eastAsia="Times New Roman" w:hAnsi="Calibri" w:cs="Arial"/>
                <w:sz w:val="20"/>
                <w:szCs w:val="20"/>
              </w:rPr>
            </w:pPr>
            <w:r w:rsidRPr="00BA2D30">
              <w:rPr>
                <w:rFonts w:ascii="Calibri" w:hAnsi="Calibri"/>
              </w:rPr>
              <w:t>205,880,435</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3B719AB9" w14:textId="62BAED39" w:rsidR="00584187" w:rsidRPr="00BA2D30" w:rsidRDefault="00584187" w:rsidP="00584187">
            <w:pPr>
              <w:jc w:val="center"/>
              <w:rPr>
                <w:rFonts w:ascii="Calibri" w:eastAsia="Times New Roman" w:hAnsi="Calibri" w:cs="Arial"/>
                <w:sz w:val="20"/>
                <w:szCs w:val="20"/>
              </w:rPr>
            </w:pPr>
            <w:r w:rsidRPr="00BA2D30">
              <w:rPr>
                <w:rFonts w:ascii="Calibri" w:hAnsi="Calibri"/>
              </w:rPr>
              <w:t>198,727,117</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10496D86" w14:textId="796A9F49" w:rsidR="00584187" w:rsidRPr="00BA2D30" w:rsidRDefault="00584187" w:rsidP="00584187">
            <w:pPr>
              <w:jc w:val="center"/>
              <w:rPr>
                <w:rFonts w:ascii="Calibri" w:eastAsia="Times New Roman" w:hAnsi="Calibri" w:cs="Arial"/>
                <w:sz w:val="20"/>
                <w:szCs w:val="20"/>
              </w:rPr>
            </w:pPr>
            <w:r w:rsidRPr="00BA2D30">
              <w:rPr>
                <w:rFonts w:ascii="Calibri" w:hAnsi="Calibri"/>
              </w:rPr>
              <w:t>214,388,903</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6BFB57A3" w14:textId="2AC5F249" w:rsidR="00584187" w:rsidRPr="00BA2D30" w:rsidRDefault="00584187" w:rsidP="00584187">
            <w:pPr>
              <w:jc w:val="center"/>
              <w:rPr>
                <w:rFonts w:ascii="Calibri" w:eastAsia="Times New Roman" w:hAnsi="Calibri" w:cs="Arial"/>
                <w:sz w:val="20"/>
                <w:szCs w:val="20"/>
              </w:rPr>
            </w:pPr>
            <w:r w:rsidRPr="00BA2D30">
              <w:rPr>
                <w:rFonts w:ascii="Calibri" w:eastAsia="Times New Roman" w:hAnsi="Calibri" w:cs="Arial"/>
                <w:sz w:val="20"/>
                <w:szCs w:val="20"/>
              </w:rPr>
              <w:t>257,140,218</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245DFDA1" w14:textId="480EF66D" w:rsidR="00584187" w:rsidRPr="00BA2D30" w:rsidRDefault="002927CF" w:rsidP="00584187">
            <w:pPr>
              <w:jc w:val="center"/>
              <w:rPr>
                <w:rFonts w:ascii="Calibri" w:eastAsia="Times New Roman" w:hAnsi="Calibri" w:cs="Arial"/>
                <w:sz w:val="20"/>
                <w:szCs w:val="20"/>
              </w:rPr>
            </w:pPr>
            <w:r w:rsidRPr="002927CF">
              <w:rPr>
                <w:rFonts w:ascii="Calibri" w:eastAsia="Times New Roman" w:hAnsi="Calibri" w:cs="Arial"/>
                <w:sz w:val="20"/>
                <w:szCs w:val="20"/>
              </w:rPr>
              <w:t>251,619,785</w:t>
            </w:r>
          </w:p>
        </w:tc>
      </w:tr>
      <w:tr w:rsidR="00584187" w:rsidRPr="00BA2D30" w14:paraId="1D49C1C1" w14:textId="77777777" w:rsidTr="001C42F5">
        <w:trPr>
          <w:trHeight w:val="302"/>
          <w:jc w:val="center"/>
        </w:trPr>
        <w:tc>
          <w:tcPr>
            <w:tcW w:w="273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71C7781" w14:textId="77777777" w:rsidR="00584187" w:rsidRPr="00BA2D30" w:rsidRDefault="00584187" w:rsidP="00584187">
            <w:pPr>
              <w:jc w:val="right"/>
              <w:rPr>
                <w:rFonts w:ascii="Calibri" w:eastAsia="Times New Roman" w:hAnsi="Calibri" w:cs="Arial"/>
                <w:sz w:val="20"/>
                <w:szCs w:val="20"/>
              </w:rPr>
            </w:pPr>
            <w:r w:rsidRPr="00BA2D30">
              <w:rPr>
                <w:rFonts w:ascii="Calibri" w:eastAsia="Times New Roman" w:hAnsi="Calibri" w:cs="Arial"/>
                <w:sz w:val="20"/>
                <w:szCs w:val="20"/>
              </w:rPr>
              <w:t>% of Total Revenues</w:t>
            </w:r>
          </w:p>
        </w:tc>
        <w:tc>
          <w:tcPr>
            <w:tcW w:w="158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0A214A63" w14:textId="41F55D6A" w:rsidR="00584187" w:rsidRPr="00BA2D30" w:rsidRDefault="00584187" w:rsidP="00584187">
            <w:pPr>
              <w:jc w:val="center"/>
              <w:rPr>
                <w:rFonts w:ascii="Calibri" w:hAnsi="Calibri" w:cs="Arial"/>
                <w:sz w:val="20"/>
                <w:szCs w:val="20"/>
              </w:rPr>
            </w:pPr>
            <w:r w:rsidRPr="00BA2D30">
              <w:rPr>
                <w:rFonts w:ascii="Calibri" w:hAnsi="Calibri"/>
              </w:rPr>
              <w:t>6.03%</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3A2F661F" w14:textId="0868B409" w:rsidR="00584187" w:rsidRPr="00BA2D30" w:rsidRDefault="00584187" w:rsidP="00584187">
            <w:pPr>
              <w:jc w:val="center"/>
              <w:rPr>
                <w:rFonts w:ascii="Calibri" w:hAnsi="Calibri" w:cs="Arial"/>
                <w:sz w:val="20"/>
                <w:szCs w:val="20"/>
              </w:rPr>
            </w:pPr>
            <w:r w:rsidRPr="00BA2D30">
              <w:rPr>
                <w:rFonts w:ascii="Calibri" w:hAnsi="Calibri"/>
              </w:rPr>
              <w:t>10.59%</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476D88E8" w14:textId="3AAEC3D5" w:rsidR="00584187" w:rsidRPr="00BA2D30" w:rsidRDefault="00584187" w:rsidP="00584187">
            <w:pPr>
              <w:jc w:val="center"/>
              <w:rPr>
                <w:rFonts w:ascii="Calibri" w:hAnsi="Calibri" w:cs="Arial"/>
                <w:sz w:val="20"/>
                <w:szCs w:val="20"/>
              </w:rPr>
            </w:pPr>
            <w:r w:rsidRPr="00BA2D30">
              <w:rPr>
                <w:rFonts w:ascii="Calibri" w:hAnsi="Calibri"/>
              </w:rPr>
              <w:t>7.69%</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5029F75C" w14:textId="341B7528" w:rsidR="00584187" w:rsidRPr="00BA2D30" w:rsidRDefault="00584187" w:rsidP="00584187">
            <w:pPr>
              <w:jc w:val="center"/>
              <w:rPr>
                <w:rFonts w:ascii="Calibri" w:hAnsi="Calibri" w:cs="Arial"/>
                <w:sz w:val="20"/>
                <w:szCs w:val="20"/>
              </w:rPr>
            </w:pPr>
            <w:r w:rsidRPr="00BA2D30">
              <w:rPr>
                <w:rFonts w:ascii="Calibri" w:hAnsi="Calibri"/>
              </w:rPr>
              <w:t>8.18%</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75035E68" w14:textId="7FACF837" w:rsidR="00584187" w:rsidRPr="00BA2D30" w:rsidRDefault="002927CF" w:rsidP="00584187">
            <w:pPr>
              <w:jc w:val="center"/>
              <w:rPr>
                <w:rFonts w:ascii="Calibri" w:hAnsi="Calibri" w:cs="Arial"/>
                <w:sz w:val="20"/>
                <w:szCs w:val="20"/>
              </w:rPr>
            </w:pPr>
            <w:r>
              <w:rPr>
                <w:rFonts w:ascii="Calibri" w:hAnsi="Calibri" w:cs="Arial"/>
                <w:sz w:val="20"/>
                <w:szCs w:val="20"/>
              </w:rPr>
              <w:t>5.86%</w:t>
            </w:r>
          </w:p>
        </w:tc>
      </w:tr>
    </w:tbl>
    <w:p w14:paraId="319ADA43" w14:textId="77777777" w:rsidR="002A30E5" w:rsidRPr="00BA2D30" w:rsidRDefault="002A30E5" w:rsidP="002A30E5">
      <w:pPr>
        <w:autoSpaceDE w:val="0"/>
        <w:autoSpaceDN w:val="0"/>
        <w:adjustRightInd w:val="0"/>
        <w:rPr>
          <w:bCs/>
          <w:sz w:val="16"/>
          <w:szCs w:val="16"/>
        </w:rPr>
      </w:pPr>
      <w:r w:rsidRPr="00BA2D30">
        <w:rPr>
          <w:bCs/>
          <w:sz w:val="16"/>
          <w:szCs w:val="16"/>
        </w:rPr>
        <w:t>Source: Fiscal Executive Summary Cube</w:t>
      </w:r>
    </w:p>
    <w:p w14:paraId="1CB40B51" w14:textId="77777777" w:rsidR="002A30E5" w:rsidRPr="008553AE" w:rsidRDefault="002A30E5" w:rsidP="002A30E5">
      <w:pPr>
        <w:pStyle w:val="Heading2"/>
        <w:rPr>
          <w:color w:val="auto"/>
        </w:rPr>
      </w:pPr>
      <w:bookmarkStart w:id="123" w:name="_Toc288801619"/>
      <w:bookmarkStart w:id="124" w:name="_Toc341183258"/>
      <w:bookmarkStart w:id="125" w:name="_Toc506217437"/>
      <w:r w:rsidRPr="008553AE">
        <w:rPr>
          <w:color w:val="auto"/>
        </w:rPr>
        <w:t>Restricted Revenues as a Percentage of Total Revenues (Unrestricted and Restricted)</w:t>
      </w:r>
      <w:bookmarkEnd w:id="123"/>
      <w:bookmarkEnd w:id="124"/>
      <w:bookmarkEnd w:id="125"/>
    </w:p>
    <w:p w14:paraId="4222E723" w14:textId="0A24B5A8" w:rsidR="002A30E5" w:rsidRPr="008553AE" w:rsidRDefault="002A30E5" w:rsidP="002A30E5">
      <w:pPr>
        <w:keepNext/>
        <w:autoSpaceDE w:val="0"/>
        <w:autoSpaceDN w:val="0"/>
        <w:adjustRightInd w:val="0"/>
      </w:pPr>
      <w:bookmarkStart w:id="126" w:name="_Toc288801620"/>
      <w:r w:rsidRPr="008553AE">
        <w:t>Restricted revenues represented 1</w:t>
      </w:r>
      <w:r w:rsidR="0023620F">
        <w:t>5.60</w:t>
      </w:r>
      <w:r w:rsidRPr="008553AE">
        <w:t>% of the total revenues in 201</w:t>
      </w:r>
      <w:r w:rsidR="0023620F">
        <w:t>6</w:t>
      </w:r>
      <w:r w:rsidRPr="008553AE">
        <w:t>-1</w:t>
      </w:r>
      <w:r w:rsidR="0023620F">
        <w:t>7</w:t>
      </w:r>
      <w:r w:rsidRPr="008553AE">
        <w:t xml:space="preserve">, which is an increase compared to the prior year. In FY 2007-08, prior to the economic downturn, </w:t>
      </w:r>
      <w:r w:rsidR="00B17422">
        <w:t>state-wide c</w:t>
      </w:r>
      <w:r w:rsidRPr="008553AE">
        <w:t>ategorical programs wer</w:t>
      </w:r>
      <w:r w:rsidR="00806EDD">
        <w:t xml:space="preserve">e funded at over $600 million. </w:t>
      </w:r>
      <w:r w:rsidRPr="008553AE">
        <w:t>Beginning in 2008</w:t>
      </w:r>
      <w:r w:rsidR="00806EDD">
        <w:t>-09</w:t>
      </w:r>
      <w:r w:rsidR="00B17422">
        <w:t>, c</w:t>
      </w:r>
      <w:r w:rsidRPr="008553AE">
        <w:t>ategorical program funding was reduced to $376 million with many programs reduced by half and some e</w:t>
      </w:r>
      <w:r w:rsidR="00B17422">
        <w:t>liminated outright. State-wide c</w:t>
      </w:r>
      <w:r w:rsidRPr="008553AE">
        <w:t xml:space="preserve">ategorical program funding for FY </w:t>
      </w:r>
      <w:r>
        <w:t>2016-17</w:t>
      </w:r>
      <w:r w:rsidRPr="008553AE">
        <w:t xml:space="preserve"> amounted to $</w:t>
      </w:r>
      <w:r>
        <w:t>688.2 million</w:t>
      </w:r>
      <w:r w:rsidRPr="008553AE">
        <w:t>, restoring what was lost in the prior six years.</w:t>
      </w:r>
    </w:p>
    <w:p w14:paraId="5009F2D8" w14:textId="77777777" w:rsidR="002A30E5" w:rsidRPr="00B9364B" w:rsidRDefault="002A30E5" w:rsidP="002A30E5">
      <w:pPr>
        <w:autoSpaceDE w:val="0"/>
        <w:autoSpaceDN w:val="0"/>
        <w:adjustRightInd w:val="0"/>
        <w:jc w:val="center"/>
        <w:rPr>
          <w:rFonts w:ascii="Franklin Gothic Book" w:eastAsia="Franklin Gothic Book" w:hAnsi="Franklin Gothic Book" w:cs="Times New Roman"/>
          <w:bCs/>
          <w:color w:val="FF0000"/>
          <w:sz w:val="16"/>
          <w:szCs w:val="16"/>
        </w:rPr>
      </w:pPr>
    </w:p>
    <w:p w14:paraId="28B62D19" w14:textId="77777777" w:rsidR="002A30E5" w:rsidRPr="00A453C0" w:rsidRDefault="002A30E5" w:rsidP="002A30E5">
      <w:pPr>
        <w:autoSpaceDE w:val="0"/>
        <w:autoSpaceDN w:val="0"/>
        <w:adjustRightInd w:val="0"/>
        <w:jc w:val="center"/>
        <w:rPr>
          <w:rFonts w:ascii="Calibri" w:hAnsi="Calibri"/>
          <w:b/>
        </w:rPr>
      </w:pPr>
      <w:r w:rsidRPr="00A453C0">
        <w:rPr>
          <w:rFonts w:ascii="Franklin Gothic Book" w:eastAsia="Franklin Gothic Book" w:hAnsi="Franklin Gothic Book" w:cs="Times New Roman"/>
          <w:b/>
          <w:bCs/>
          <w:sz w:val="20"/>
        </w:rPr>
        <w:t>Restricted Revenues as a Percentage of Total Revenues (Unrestricted and Restricted)</w:t>
      </w:r>
    </w:p>
    <w:tbl>
      <w:tblPr>
        <w:tblW w:w="0" w:type="auto"/>
        <w:jc w:val="center"/>
        <w:tblLayout w:type="fixed"/>
        <w:tblLook w:val="04A0" w:firstRow="1" w:lastRow="0" w:firstColumn="1" w:lastColumn="0" w:noHBand="0" w:noVBand="1"/>
      </w:tblPr>
      <w:tblGrid>
        <w:gridCol w:w="3420"/>
        <w:gridCol w:w="1260"/>
        <w:gridCol w:w="1350"/>
        <w:gridCol w:w="1260"/>
        <w:gridCol w:w="1260"/>
        <w:gridCol w:w="1350"/>
      </w:tblGrid>
      <w:tr w:rsidR="00584187" w:rsidRPr="00A453C0" w14:paraId="37485D46" w14:textId="77777777" w:rsidTr="001C42F5">
        <w:trPr>
          <w:trHeight w:val="284"/>
          <w:jc w:val="center"/>
        </w:trPr>
        <w:tc>
          <w:tcPr>
            <w:tcW w:w="3420"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6FECEFBF" w14:textId="77777777" w:rsidR="00584187" w:rsidRPr="00A453C0" w:rsidRDefault="00584187" w:rsidP="00584187">
            <w:pPr>
              <w:rPr>
                <w:rFonts w:ascii="Calibri" w:eastAsia="Times New Roman" w:hAnsi="Calibri" w:cs="Arial"/>
                <w:b/>
                <w:sz w:val="20"/>
                <w:szCs w:val="20"/>
              </w:rPr>
            </w:pPr>
            <w:r w:rsidRPr="00A453C0">
              <w:rPr>
                <w:rFonts w:ascii="Calibri" w:eastAsia="Times New Roman" w:hAnsi="Calibri" w:cs="Arial"/>
                <w:b/>
                <w:sz w:val="20"/>
                <w:szCs w:val="20"/>
              </w:rPr>
              <w:lastRenderedPageBreak/>
              <w:t xml:space="preserve">Restricted Revenues as a </w:t>
            </w:r>
          </w:p>
          <w:p w14:paraId="6FB66027" w14:textId="77777777" w:rsidR="00584187" w:rsidRPr="00A453C0" w:rsidRDefault="00584187" w:rsidP="00584187">
            <w:pPr>
              <w:rPr>
                <w:rFonts w:ascii="Calibri" w:eastAsia="Times New Roman" w:hAnsi="Calibri" w:cs="Arial"/>
                <w:b/>
                <w:sz w:val="20"/>
                <w:szCs w:val="20"/>
              </w:rPr>
            </w:pPr>
            <w:r w:rsidRPr="00A453C0">
              <w:rPr>
                <w:rFonts w:ascii="Calibri" w:eastAsia="Times New Roman" w:hAnsi="Calibri" w:cs="Arial"/>
                <w:b/>
                <w:sz w:val="20"/>
                <w:szCs w:val="20"/>
              </w:rPr>
              <w:t>Percentage of Total Revenues</w:t>
            </w:r>
          </w:p>
        </w:tc>
        <w:tc>
          <w:tcPr>
            <w:tcW w:w="1260"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4293BC6B" w14:textId="20CB3FA1" w:rsidR="00584187" w:rsidRPr="00A453C0" w:rsidRDefault="00584187" w:rsidP="00584187">
            <w:pPr>
              <w:jc w:val="center"/>
              <w:rPr>
                <w:rFonts w:ascii="Calibri" w:eastAsia="Times New Roman" w:hAnsi="Calibri" w:cs="Arial"/>
                <w:b/>
                <w:sz w:val="20"/>
                <w:szCs w:val="20"/>
              </w:rPr>
            </w:pPr>
            <w:r w:rsidRPr="00A453C0">
              <w:rPr>
                <w:rFonts w:ascii="Calibri" w:eastAsia="Times New Roman" w:hAnsi="Calibri" w:cs="Arial"/>
                <w:b/>
                <w:sz w:val="20"/>
                <w:szCs w:val="20"/>
              </w:rPr>
              <w:t>FY  2012-13</w:t>
            </w:r>
          </w:p>
        </w:tc>
        <w:tc>
          <w:tcPr>
            <w:tcW w:w="1350" w:type="dxa"/>
            <w:tcBorders>
              <w:top w:val="single" w:sz="4" w:space="0" w:color="BFBFBF" w:themeColor="background1" w:themeShade="BF"/>
              <w:bottom w:val="single" w:sz="4" w:space="0" w:color="auto"/>
            </w:tcBorders>
            <w:shd w:val="clear" w:color="auto" w:fill="D9D9D9" w:themeFill="background1" w:themeFillShade="D9"/>
            <w:noWrap/>
            <w:vAlign w:val="bottom"/>
          </w:tcPr>
          <w:p w14:paraId="38B01F47" w14:textId="3FBC33B8" w:rsidR="00584187" w:rsidRPr="00A453C0" w:rsidRDefault="00584187" w:rsidP="00584187">
            <w:pPr>
              <w:jc w:val="center"/>
              <w:rPr>
                <w:rFonts w:ascii="Calibri" w:eastAsia="Times New Roman" w:hAnsi="Calibri" w:cs="Arial"/>
                <w:b/>
                <w:sz w:val="20"/>
                <w:szCs w:val="20"/>
              </w:rPr>
            </w:pPr>
            <w:r w:rsidRPr="00A453C0">
              <w:rPr>
                <w:rFonts w:ascii="Calibri" w:eastAsia="Times New Roman" w:hAnsi="Calibri" w:cs="Arial"/>
                <w:b/>
                <w:sz w:val="20"/>
                <w:szCs w:val="20"/>
              </w:rPr>
              <w:t>FY  2013-14</w:t>
            </w:r>
          </w:p>
        </w:tc>
        <w:tc>
          <w:tcPr>
            <w:tcW w:w="1260" w:type="dxa"/>
            <w:tcBorders>
              <w:top w:val="single" w:sz="4" w:space="0" w:color="BFBFBF" w:themeColor="background1" w:themeShade="BF"/>
              <w:bottom w:val="single" w:sz="4" w:space="0" w:color="auto"/>
            </w:tcBorders>
            <w:shd w:val="clear" w:color="auto" w:fill="D9D9D9" w:themeFill="background1" w:themeFillShade="D9"/>
            <w:vAlign w:val="bottom"/>
          </w:tcPr>
          <w:p w14:paraId="57ACA86E" w14:textId="0063881B" w:rsidR="00584187" w:rsidRPr="00A453C0" w:rsidRDefault="00584187" w:rsidP="00584187">
            <w:pPr>
              <w:jc w:val="center"/>
              <w:rPr>
                <w:rFonts w:ascii="Calibri" w:eastAsia="Times New Roman" w:hAnsi="Calibri" w:cs="Arial"/>
                <w:b/>
                <w:sz w:val="20"/>
                <w:szCs w:val="20"/>
              </w:rPr>
            </w:pPr>
            <w:r w:rsidRPr="00A453C0">
              <w:rPr>
                <w:rFonts w:ascii="Calibri" w:eastAsia="Times New Roman" w:hAnsi="Calibri" w:cs="Arial"/>
                <w:b/>
                <w:sz w:val="20"/>
                <w:szCs w:val="20"/>
              </w:rPr>
              <w:t>FY  2014-15</w:t>
            </w:r>
          </w:p>
        </w:tc>
        <w:tc>
          <w:tcPr>
            <w:tcW w:w="1260" w:type="dxa"/>
            <w:tcBorders>
              <w:top w:val="single" w:sz="4" w:space="0" w:color="BFBFBF" w:themeColor="background1" w:themeShade="BF"/>
              <w:bottom w:val="single" w:sz="4" w:space="0" w:color="auto"/>
            </w:tcBorders>
            <w:shd w:val="clear" w:color="auto" w:fill="D9D9D9" w:themeFill="background1" w:themeFillShade="D9"/>
            <w:noWrap/>
            <w:vAlign w:val="bottom"/>
          </w:tcPr>
          <w:p w14:paraId="15C6624C" w14:textId="2EE6C3C1" w:rsidR="00584187" w:rsidRPr="00A453C0" w:rsidRDefault="00584187" w:rsidP="00584187">
            <w:pPr>
              <w:jc w:val="center"/>
              <w:rPr>
                <w:rFonts w:ascii="Calibri" w:eastAsia="Times New Roman" w:hAnsi="Calibri" w:cs="Arial"/>
                <w:b/>
                <w:sz w:val="20"/>
                <w:szCs w:val="20"/>
              </w:rPr>
            </w:pPr>
            <w:r>
              <w:rPr>
                <w:rFonts w:ascii="Calibri" w:eastAsia="Times New Roman" w:hAnsi="Calibri" w:cs="Arial"/>
                <w:b/>
                <w:sz w:val="20"/>
                <w:szCs w:val="20"/>
              </w:rPr>
              <w:t>FY  2015-1</w:t>
            </w:r>
            <w:r w:rsidRPr="00A453C0">
              <w:rPr>
                <w:rFonts w:ascii="Calibri" w:eastAsia="Times New Roman" w:hAnsi="Calibri" w:cs="Arial"/>
                <w:b/>
                <w:sz w:val="20"/>
                <w:szCs w:val="20"/>
              </w:rPr>
              <w:t>6</w:t>
            </w:r>
          </w:p>
        </w:tc>
        <w:tc>
          <w:tcPr>
            <w:tcW w:w="1350" w:type="dxa"/>
            <w:tcBorders>
              <w:top w:val="single" w:sz="4" w:space="0" w:color="BFBFBF" w:themeColor="background1" w:themeShade="BF"/>
              <w:bottom w:val="single" w:sz="4" w:space="0" w:color="auto"/>
            </w:tcBorders>
            <w:shd w:val="clear" w:color="auto" w:fill="D9D9D9" w:themeFill="background1" w:themeFillShade="D9"/>
            <w:vAlign w:val="bottom"/>
          </w:tcPr>
          <w:p w14:paraId="76B5CB62" w14:textId="40A9DA52" w:rsidR="00584187" w:rsidRPr="00A453C0" w:rsidRDefault="00584187" w:rsidP="00584187">
            <w:pPr>
              <w:jc w:val="center"/>
              <w:rPr>
                <w:rFonts w:ascii="Calibri" w:eastAsia="Times New Roman" w:hAnsi="Calibri" w:cs="Arial"/>
                <w:b/>
                <w:sz w:val="20"/>
                <w:szCs w:val="20"/>
              </w:rPr>
            </w:pPr>
            <w:r>
              <w:rPr>
                <w:rFonts w:ascii="Calibri" w:eastAsia="Times New Roman" w:hAnsi="Calibri" w:cs="Arial"/>
                <w:b/>
                <w:sz w:val="20"/>
                <w:szCs w:val="20"/>
              </w:rPr>
              <w:t>FY  2016-17</w:t>
            </w:r>
          </w:p>
        </w:tc>
      </w:tr>
      <w:tr w:rsidR="00584187" w:rsidRPr="00A453C0" w14:paraId="00D66654"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FBD4B4" w:themeFill="accent6" w:themeFillTint="66"/>
            <w:noWrap/>
            <w:vAlign w:val="bottom"/>
          </w:tcPr>
          <w:p w14:paraId="6E2F04D8" w14:textId="77777777" w:rsidR="00584187" w:rsidRPr="00A453C0" w:rsidRDefault="00584187" w:rsidP="00584187">
            <w:pPr>
              <w:rPr>
                <w:rFonts w:ascii="Calibri" w:eastAsia="Times New Roman" w:hAnsi="Calibri" w:cs="Arial"/>
                <w:sz w:val="20"/>
                <w:szCs w:val="20"/>
              </w:rPr>
            </w:pPr>
            <w:r w:rsidRPr="00A453C0">
              <w:rPr>
                <w:rFonts w:ascii="Calibri" w:eastAsia="Times New Roman" w:hAnsi="Calibri" w:cs="Arial"/>
                <w:sz w:val="20"/>
                <w:szCs w:val="20"/>
              </w:rPr>
              <w:t>OCC Restricted Revenues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1CD9B813" w14:textId="58014404" w:rsidR="00584187" w:rsidRPr="00A453C0" w:rsidRDefault="00584187" w:rsidP="00584187">
            <w:pPr>
              <w:jc w:val="center"/>
              <w:rPr>
                <w:rFonts w:ascii="Calibri" w:hAnsi="Calibri"/>
                <w:sz w:val="20"/>
                <w:szCs w:val="20"/>
              </w:rPr>
            </w:pPr>
            <w:r w:rsidRPr="00A453C0">
              <w:rPr>
                <w:rFonts w:ascii="Calibri" w:hAnsi="Calibri"/>
                <w:sz w:val="20"/>
                <w:szCs w:val="20"/>
              </w:rPr>
              <w:t>5,351,634</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67777011" w14:textId="340E0519" w:rsidR="00584187" w:rsidRPr="00A453C0" w:rsidRDefault="00584187" w:rsidP="00584187">
            <w:pPr>
              <w:jc w:val="center"/>
              <w:rPr>
                <w:rFonts w:ascii="Calibri" w:hAnsi="Calibri"/>
                <w:sz w:val="20"/>
                <w:szCs w:val="20"/>
              </w:rPr>
            </w:pPr>
            <w:r w:rsidRPr="00A453C0">
              <w:rPr>
                <w:rFonts w:ascii="Calibri" w:hAnsi="Calibri"/>
                <w:sz w:val="20"/>
                <w:szCs w:val="20"/>
              </w:rPr>
              <w:t>5,694,788</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6C131ABC" w14:textId="58B708B6" w:rsidR="00584187" w:rsidRPr="00A453C0" w:rsidRDefault="00584187" w:rsidP="00584187">
            <w:pPr>
              <w:jc w:val="center"/>
              <w:rPr>
                <w:rFonts w:ascii="Calibri" w:hAnsi="Calibri"/>
                <w:sz w:val="20"/>
                <w:szCs w:val="20"/>
              </w:rPr>
            </w:pPr>
            <w:r w:rsidRPr="00A453C0">
              <w:rPr>
                <w:rFonts w:ascii="Calibri" w:hAnsi="Calibri"/>
                <w:sz w:val="20"/>
                <w:szCs w:val="20"/>
              </w:rPr>
              <w:t>6,928,784</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33F580FA" w14:textId="2D247D60" w:rsidR="00584187" w:rsidRPr="00A453C0" w:rsidRDefault="00584187" w:rsidP="00584187">
            <w:pPr>
              <w:jc w:val="center"/>
              <w:rPr>
                <w:rFonts w:ascii="Calibri" w:hAnsi="Calibri"/>
                <w:sz w:val="20"/>
                <w:szCs w:val="20"/>
              </w:rPr>
            </w:pPr>
            <w:r w:rsidRPr="00A453C0">
              <w:rPr>
                <w:rFonts w:ascii="Calibri" w:hAnsi="Calibri"/>
                <w:sz w:val="20"/>
                <w:szCs w:val="20"/>
              </w:rPr>
              <w:t>$11,833,387</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6C61D933" w14:textId="51C4E3AB" w:rsidR="00584187" w:rsidRPr="00A453C0" w:rsidRDefault="00B148DD" w:rsidP="00584187">
            <w:pPr>
              <w:jc w:val="center"/>
              <w:rPr>
                <w:rFonts w:ascii="Calibri" w:hAnsi="Calibri"/>
                <w:sz w:val="20"/>
                <w:szCs w:val="20"/>
              </w:rPr>
            </w:pPr>
            <w:r>
              <w:rPr>
                <w:rFonts w:ascii="Calibri" w:hAnsi="Calibri"/>
                <w:sz w:val="20"/>
                <w:szCs w:val="20"/>
              </w:rPr>
              <w:t>$14,390,684</w:t>
            </w:r>
          </w:p>
        </w:tc>
      </w:tr>
      <w:tr w:rsidR="00584187" w:rsidRPr="00A453C0" w14:paraId="70DDA31E"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FBD4B4" w:themeFill="accent6" w:themeFillTint="66"/>
            <w:noWrap/>
            <w:vAlign w:val="bottom"/>
          </w:tcPr>
          <w:p w14:paraId="3C204E1A" w14:textId="77777777" w:rsidR="00584187" w:rsidRPr="00A453C0" w:rsidRDefault="00584187" w:rsidP="00584187">
            <w:pPr>
              <w:jc w:val="right"/>
              <w:rPr>
                <w:rFonts w:ascii="Calibri" w:eastAsia="Times New Roman" w:hAnsi="Calibri" w:cs="Arial"/>
                <w:sz w:val="20"/>
                <w:szCs w:val="20"/>
              </w:rPr>
            </w:pPr>
            <w:r w:rsidRPr="00A453C0">
              <w:rPr>
                <w:rFonts w:ascii="Calibri" w:eastAsia="Times New Roman" w:hAnsi="Calibri" w:cs="Arial"/>
                <w:sz w:val="20"/>
                <w:szCs w:val="20"/>
              </w:rPr>
              <w:t xml:space="preserve">% of Total Revenue </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3E610E05" w14:textId="242657AE"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2.60%</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2C639B34" w14:textId="582672DC"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2.87%</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0445D503" w14:textId="703F61B7"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3.23%</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060993A2" w14:textId="3FC663CB"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4.60%</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38716287" w14:textId="3C438ED2" w:rsidR="00584187" w:rsidRPr="00A453C0" w:rsidRDefault="00B148DD" w:rsidP="00584187">
            <w:pPr>
              <w:jc w:val="center"/>
              <w:rPr>
                <w:rFonts w:ascii="Calibri" w:eastAsia="Times New Roman" w:hAnsi="Calibri" w:cs="Arial"/>
                <w:sz w:val="20"/>
                <w:szCs w:val="20"/>
              </w:rPr>
            </w:pPr>
            <w:r>
              <w:rPr>
                <w:rFonts w:ascii="Calibri" w:eastAsia="Times New Roman" w:hAnsi="Calibri" w:cs="Arial"/>
                <w:sz w:val="20"/>
                <w:szCs w:val="20"/>
              </w:rPr>
              <w:t>5.72%</w:t>
            </w:r>
          </w:p>
        </w:tc>
      </w:tr>
      <w:tr w:rsidR="00584187" w:rsidRPr="00A453C0" w14:paraId="38F17BF5"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D6E3BC" w:themeFill="accent3" w:themeFillTint="66"/>
            <w:noWrap/>
            <w:vAlign w:val="bottom"/>
          </w:tcPr>
          <w:p w14:paraId="01C79A15" w14:textId="77777777" w:rsidR="00584187" w:rsidRPr="00A453C0" w:rsidRDefault="00584187" w:rsidP="00584187">
            <w:pPr>
              <w:rPr>
                <w:rFonts w:ascii="Calibri" w:eastAsia="Times New Roman" w:hAnsi="Calibri" w:cs="Arial"/>
                <w:sz w:val="20"/>
                <w:szCs w:val="20"/>
              </w:rPr>
            </w:pPr>
            <w:r w:rsidRPr="00A453C0">
              <w:rPr>
                <w:rFonts w:ascii="Calibri" w:eastAsia="Times New Roman" w:hAnsi="Calibri" w:cs="Arial"/>
                <w:sz w:val="20"/>
                <w:szCs w:val="20"/>
              </w:rPr>
              <w:t>GWC Restricted Revenues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616EC58F" w14:textId="4C83FD35" w:rsidR="00584187" w:rsidRPr="00A453C0" w:rsidRDefault="00584187" w:rsidP="00584187">
            <w:pPr>
              <w:jc w:val="center"/>
              <w:rPr>
                <w:rFonts w:ascii="Calibri" w:hAnsi="Calibri"/>
                <w:sz w:val="20"/>
                <w:szCs w:val="20"/>
              </w:rPr>
            </w:pPr>
            <w:r w:rsidRPr="00A453C0">
              <w:rPr>
                <w:rFonts w:ascii="Calibri" w:hAnsi="Calibri"/>
                <w:sz w:val="20"/>
                <w:szCs w:val="20"/>
              </w:rPr>
              <w:t>4,487,841</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719DE60D" w14:textId="5130629F" w:rsidR="00584187" w:rsidRPr="00A453C0" w:rsidRDefault="00584187" w:rsidP="00584187">
            <w:pPr>
              <w:jc w:val="center"/>
              <w:rPr>
                <w:rFonts w:ascii="Calibri" w:hAnsi="Calibri"/>
                <w:sz w:val="20"/>
                <w:szCs w:val="20"/>
              </w:rPr>
            </w:pPr>
            <w:r w:rsidRPr="00A453C0">
              <w:rPr>
                <w:rFonts w:ascii="Calibri" w:hAnsi="Calibri"/>
                <w:sz w:val="20"/>
                <w:szCs w:val="20"/>
              </w:rPr>
              <w:t>4,902,763</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518F6F2B" w14:textId="7FB7E263" w:rsidR="00584187" w:rsidRPr="00A453C0" w:rsidRDefault="00584187" w:rsidP="00584187">
            <w:pPr>
              <w:jc w:val="center"/>
              <w:rPr>
                <w:rFonts w:ascii="Calibri" w:hAnsi="Calibri"/>
                <w:sz w:val="20"/>
                <w:szCs w:val="20"/>
              </w:rPr>
            </w:pPr>
            <w:r w:rsidRPr="00A453C0">
              <w:rPr>
                <w:rFonts w:ascii="Calibri" w:hAnsi="Calibri"/>
                <w:sz w:val="20"/>
                <w:szCs w:val="20"/>
              </w:rPr>
              <w:t>6,822,221</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06A89493" w14:textId="3E2B67FD" w:rsidR="00584187" w:rsidRPr="00A453C0" w:rsidRDefault="00584187" w:rsidP="00584187">
            <w:pPr>
              <w:jc w:val="center"/>
              <w:rPr>
                <w:rFonts w:ascii="Calibri" w:hAnsi="Calibri"/>
                <w:sz w:val="20"/>
                <w:szCs w:val="20"/>
              </w:rPr>
            </w:pPr>
            <w:r w:rsidRPr="00A453C0">
              <w:rPr>
                <w:rFonts w:ascii="Calibri" w:hAnsi="Calibri"/>
                <w:sz w:val="20"/>
                <w:szCs w:val="20"/>
              </w:rPr>
              <w:t>$9,526,249</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0C58779D" w14:textId="4FB471D3" w:rsidR="00584187" w:rsidRPr="00A453C0" w:rsidRDefault="00B148DD" w:rsidP="00584187">
            <w:pPr>
              <w:jc w:val="center"/>
              <w:rPr>
                <w:rFonts w:ascii="Calibri" w:hAnsi="Calibri"/>
                <w:sz w:val="20"/>
                <w:szCs w:val="20"/>
              </w:rPr>
            </w:pPr>
            <w:r>
              <w:rPr>
                <w:rFonts w:ascii="Calibri" w:hAnsi="Calibri"/>
                <w:sz w:val="20"/>
                <w:szCs w:val="20"/>
              </w:rPr>
              <w:t>$9,834,649</w:t>
            </w:r>
          </w:p>
        </w:tc>
      </w:tr>
      <w:tr w:rsidR="00584187" w:rsidRPr="00A453C0" w14:paraId="7CC65589"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D6E3BC" w:themeFill="accent3" w:themeFillTint="66"/>
            <w:noWrap/>
            <w:vAlign w:val="bottom"/>
          </w:tcPr>
          <w:p w14:paraId="232D2924" w14:textId="77777777" w:rsidR="00584187" w:rsidRPr="00A453C0" w:rsidRDefault="00584187" w:rsidP="00584187">
            <w:pPr>
              <w:jc w:val="right"/>
              <w:rPr>
                <w:rFonts w:ascii="Calibri" w:eastAsia="Times New Roman" w:hAnsi="Calibri" w:cs="Arial"/>
                <w:sz w:val="20"/>
                <w:szCs w:val="20"/>
              </w:rPr>
            </w:pPr>
            <w:r w:rsidRPr="00A453C0">
              <w:rPr>
                <w:rFonts w:ascii="Calibri" w:eastAsia="Times New Roman" w:hAnsi="Calibri" w:cs="Arial"/>
                <w:sz w:val="20"/>
                <w:szCs w:val="20"/>
              </w:rPr>
              <w:t>% of Total Revenue</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16901A54" w14:textId="380A802D"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2.18%</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314ED099" w14:textId="17FFB7F4"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2.47%</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37A54D62" w14:textId="769D5751"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3.18%</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5B966D3C" w14:textId="62D5514E"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3.70%</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34E97F53" w14:textId="24A9E2F4" w:rsidR="00584187" w:rsidRPr="00A453C0" w:rsidRDefault="00B148DD" w:rsidP="00584187">
            <w:pPr>
              <w:jc w:val="center"/>
              <w:rPr>
                <w:rFonts w:ascii="Calibri" w:eastAsia="Times New Roman" w:hAnsi="Calibri" w:cs="Arial"/>
                <w:sz w:val="20"/>
                <w:szCs w:val="20"/>
              </w:rPr>
            </w:pPr>
            <w:r>
              <w:rPr>
                <w:rFonts w:ascii="Calibri" w:eastAsia="Times New Roman" w:hAnsi="Calibri" w:cs="Arial"/>
                <w:sz w:val="20"/>
                <w:szCs w:val="20"/>
              </w:rPr>
              <w:t>3.91%</w:t>
            </w:r>
          </w:p>
        </w:tc>
      </w:tr>
      <w:tr w:rsidR="00584187" w:rsidRPr="00A453C0" w14:paraId="033C8571"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DBE5F1" w:themeFill="accent1" w:themeFillTint="33"/>
            <w:noWrap/>
            <w:vAlign w:val="bottom"/>
          </w:tcPr>
          <w:p w14:paraId="5FCC666C" w14:textId="77777777" w:rsidR="00584187" w:rsidRPr="00A453C0" w:rsidRDefault="00584187" w:rsidP="00584187">
            <w:pPr>
              <w:rPr>
                <w:rFonts w:ascii="Calibri" w:eastAsia="Times New Roman" w:hAnsi="Calibri" w:cs="Arial"/>
                <w:sz w:val="20"/>
                <w:szCs w:val="20"/>
              </w:rPr>
            </w:pPr>
            <w:r w:rsidRPr="00A453C0">
              <w:rPr>
                <w:rFonts w:ascii="Calibri" w:eastAsia="Times New Roman" w:hAnsi="Calibri" w:cs="Arial"/>
                <w:sz w:val="20"/>
                <w:szCs w:val="20"/>
              </w:rPr>
              <w:t>CCC Restricted Revenues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3F822E9A" w14:textId="1E75577E" w:rsidR="00584187" w:rsidRPr="00A453C0" w:rsidRDefault="00584187" w:rsidP="00584187">
            <w:pPr>
              <w:jc w:val="center"/>
              <w:rPr>
                <w:rFonts w:ascii="Calibri" w:hAnsi="Calibri"/>
                <w:sz w:val="20"/>
                <w:szCs w:val="20"/>
              </w:rPr>
            </w:pPr>
            <w:r w:rsidRPr="00A453C0">
              <w:rPr>
                <w:rFonts w:ascii="Calibri" w:hAnsi="Calibri"/>
                <w:sz w:val="20"/>
                <w:szCs w:val="20"/>
              </w:rPr>
              <w:t>8,446,485</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00429CF8" w14:textId="1E738619" w:rsidR="00584187" w:rsidRPr="00A453C0" w:rsidRDefault="00584187" w:rsidP="00584187">
            <w:pPr>
              <w:jc w:val="center"/>
              <w:rPr>
                <w:rFonts w:ascii="Calibri" w:hAnsi="Calibri"/>
                <w:sz w:val="20"/>
                <w:szCs w:val="20"/>
              </w:rPr>
            </w:pPr>
            <w:r w:rsidRPr="00A453C0">
              <w:rPr>
                <w:rFonts w:ascii="Calibri" w:hAnsi="Calibri"/>
                <w:sz w:val="20"/>
                <w:szCs w:val="20"/>
              </w:rPr>
              <w:t>3,541,528</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168C9376" w14:textId="12194C8A" w:rsidR="00584187" w:rsidRPr="00A453C0" w:rsidRDefault="00584187" w:rsidP="00584187">
            <w:pPr>
              <w:jc w:val="center"/>
              <w:rPr>
                <w:rFonts w:ascii="Calibri" w:hAnsi="Calibri"/>
                <w:sz w:val="20"/>
                <w:szCs w:val="20"/>
              </w:rPr>
            </w:pPr>
            <w:r w:rsidRPr="00A453C0">
              <w:rPr>
                <w:rFonts w:ascii="Calibri" w:hAnsi="Calibri"/>
                <w:sz w:val="20"/>
                <w:szCs w:val="20"/>
              </w:rPr>
              <w:t>4,780,205</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2A01E6A5" w14:textId="04D6567D" w:rsidR="00584187" w:rsidRPr="00A453C0" w:rsidRDefault="00584187" w:rsidP="00584187">
            <w:pPr>
              <w:jc w:val="center"/>
              <w:rPr>
                <w:rFonts w:ascii="Calibri" w:hAnsi="Calibri"/>
                <w:sz w:val="20"/>
                <w:szCs w:val="20"/>
              </w:rPr>
            </w:pPr>
            <w:r w:rsidRPr="00A453C0">
              <w:rPr>
                <w:rFonts w:ascii="Calibri" w:hAnsi="Calibri"/>
                <w:sz w:val="20"/>
                <w:szCs w:val="20"/>
              </w:rPr>
              <w:t>$6,548,947</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25FA0272" w14:textId="2FEA062A" w:rsidR="00584187" w:rsidRPr="00A453C0" w:rsidRDefault="00B148DD" w:rsidP="00584187">
            <w:pPr>
              <w:jc w:val="center"/>
              <w:rPr>
                <w:rFonts w:ascii="Calibri" w:hAnsi="Calibri"/>
                <w:sz w:val="20"/>
                <w:szCs w:val="20"/>
              </w:rPr>
            </w:pPr>
            <w:r>
              <w:rPr>
                <w:rFonts w:ascii="Calibri" w:hAnsi="Calibri"/>
                <w:sz w:val="20"/>
                <w:szCs w:val="20"/>
              </w:rPr>
              <w:t>$7,215,390</w:t>
            </w:r>
          </w:p>
        </w:tc>
      </w:tr>
      <w:tr w:rsidR="00584187" w:rsidRPr="00A453C0" w14:paraId="2B4283C7"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DBE5F1" w:themeFill="accent1" w:themeFillTint="33"/>
            <w:noWrap/>
            <w:vAlign w:val="bottom"/>
          </w:tcPr>
          <w:p w14:paraId="43D7F21A" w14:textId="77777777" w:rsidR="00584187" w:rsidRPr="00A453C0" w:rsidRDefault="00584187" w:rsidP="00584187">
            <w:pPr>
              <w:jc w:val="right"/>
              <w:rPr>
                <w:rFonts w:ascii="Calibri" w:eastAsia="Times New Roman" w:hAnsi="Calibri" w:cs="Arial"/>
                <w:sz w:val="20"/>
                <w:szCs w:val="20"/>
              </w:rPr>
            </w:pPr>
            <w:r w:rsidRPr="00A453C0">
              <w:rPr>
                <w:rFonts w:ascii="Calibri" w:eastAsia="Times New Roman" w:hAnsi="Calibri" w:cs="Arial"/>
                <w:sz w:val="20"/>
                <w:szCs w:val="20"/>
              </w:rPr>
              <w:t>% of Total Revenue</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4E6FB62C" w14:textId="55DD394E"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4.10%</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2EACA7F4" w14:textId="5E571AF7"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1.78%</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30B3F9AF" w14:textId="29AEE532"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2.23%</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037E7157" w14:textId="285A1A44"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2.55%</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24CEC404" w14:textId="3C18AA72" w:rsidR="00584187" w:rsidRPr="00A453C0" w:rsidRDefault="00B148DD" w:rsidP="00584187">
            <w:pPr>
              <w:jc w:val="center"/>
              <w:rPr>
                <w:rFonts w:ascii="Calibri" w:eastAsia="Times New Roman" w:hAnsi="Calibri" w:cs="Arial"/>
                <w:sz w:val="20"/>
                <w:szCs w:val="20"/>
              </w:rPr>
            </w:pPr>
            <w:r>
              <w:rPr>
                <w:rFonts w:ascii="Calibri" w:eastAsia="Times New Roman" w:hAnsi="Calibri" w:cs="Arial"/>
                <w:sz w:val="20"/>
                <w:szCs w:val="20"/>
              </w:rPr>
              <w:t>2.87%</w:t>
            </w:r>
          </w:p>
        </w:tc>
      </w:tr>
      <w:tr w:rsidR="00584187" w:rsidRPr="00A453C0" w14:paraId="2581DE02"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auto"/>
            <w:noWrap/>
            <w:vAlign w:val="bottom"/>
          </w:tcPr>
          <w:p w14:paraId="31C63738" w14:textId="77777777" w:rsidR="00584187" w:rsidRPr="00A453C0" w:rsidRDefault="00584187" w:rsidP="00584187">
            <w:pPr>
              <w:rPr>
                <w:rFonts w:ascii="Calibri" w:eastAsia="Times New Roman" w:hAnsi="Calibri" w:cs="Arial"/>
                <w:sz w:val="20"/>
                <w:szCs w:val="20"/>
              </w:rPr>
            </w:pPr>
            <w:r w:rsidRPr="00A453C0">
              <w:rPr>
                <w:rFonts w:ascii="Calibri" w:eastAsia="Times New Roman" w:hAnsi="Calibri" w:cs="Arial"/>
                <w:sz w:val="20"/>
                <w:szCs w:val="20"/>
              </w:rPr>
              <w:t>District Restricted Revenues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1C413597" w14:textId="73B3E2CB" w:rsidR="00584187" w:rsidRPr="00A453C0" w:rsidRDefault="00584187" w:rsidP="00584187">
            <w:pPr>
              <w:jc w:val="center"/>
              <w:rPr>
                <w:rFonts w:ascii="Calibri" w:hAnsi="Calibri"/>
                <w:sz w:val="20"/>
                <w:szCs w:val="20"/>
              </w:rPr>
            </w:pPr>
            <w:r w:rsidRPr="00A453C0">
              <w:rPr>
                <w:rFonts w:ascii="Calibri" w:hAnsi="Calibri"/>
                <w:sz w:val="20"/>
                <w:szCs w:val="20"/>
              </w:rPr>
              <w:t>6,084,553</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0CB197F5" w14:textId="2C5D7627" w:rsidR="00584187" w:rsidRPr="00A453C0" w:rsidRDefault="00584187" w:rsidP="00584187">
            <w:pPr>
              <w:jc w:val="center"/>
              <w:rPr>
                <w:rFonts w:ascii="Calibri" w:hAnsi="Calibri"/>
                <w:sz w:val="20"/>
                <w:szCs w:val="20"/>
              </w:rPr>
            </w:pPr>
            <w:r w:rsidRPr="00A453C0">
              <w:rPr>
                <w:rFonts w:ascii="Calibri" w:hAnsi="Calibri"/>
                <w:sz w:val="20"/>
                <w:szCs w:val="20"/>
              </w:rPr>
              <w:t>5,513,252</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141F4B07" w14:textId="12E97AC3" w:rsidR="00584187" w:rsidRPr="00A453C0" w:rsidRDefault="00584187" w:rsidP="00584187">
            <w:pPr>
              <w:jc w:val="center"/>
              <w:rPr>
                <w:rFonts w:ascii="Calibri" w:hAnsi="Calibri"/>
                <w:sz w:val="20"/>
                <w:szCs w:val="20"/>
              </w:rPr>
            </w:pPr>
            <w:r w:rsidRPr="00A453C0">
              <w:rPr>
                <w:rFonts w:ascii="Calibri" w:hAnsi="Calibri"/>
                <w:sz w:val="20"/>
                <w:szCs w:val="20"/>
              </w:rPr>
              <w:t>5,259,760</w:t>
            </w:r>
          </w:p>
        </w:tc>
        <w:tc>
          <w:tcPr>
            <w:tcW w:w="1260" w:type="dxa"/>
            <w:tcBorders>
              <w:top w:val="single" w:sz="4" w:space="0" w:color="BFBFBF" w:themeColor="background1" w:themeShade="BF"/>
              <w:bottom w:val="single" w:sz="4" w:space="0" w:color="BFBFBF" w:themeColor="background1" w:themeShade="BF"/>
            </w:tcBorders>
            <w:shd w:val="clear" w:color="auto" w:fill="auto"/>
            <w:noWrap/>
          </w:tcPr>
          <w:p w14:paraId="0F8E07CA" w14:textId="6FCA2616" w:rsidR="00584187" w:rsidRPr="00A453C0" w:rsidRDefault="00584187" w:rsidP="00584187">
            <w:pPr>
              <w:jc w:val="center"/>
              <w:rPr>
                <w:rFonts w:ascii="Calibri" w:hAnsi="Calibri"/>
                <w:sz w:val="20"/>
                <w:szCs w:val="20"/>
              </w:rPr>
            </w:pPr>
            <w:r w:rsidRPr="00A453C0">
              <w:rPr>
                <w:rFonts w:ascii="Calibri" w:hAnsi="Calibri"/>
                <w:sz w:val="20"/>
                <w:szCs w:val="20"/>
              </w:rPr>
              <w:t>3,816,275</w:t>
            </w:r>
          </w:p>
        </w:tc>
        <w:tc>
          <w:tcPr>
            <w:tcW w:w="1350" w:type="dxa"/>
            <w:tcBorders>
              <w:top w:val="single" w:sz="4" w:space="0" w:color="BFBFBF" w:themeColor="background1" w:themeShade="BF"/>
              <w:bottom w:val="single" w:sz="4" w:space="0" w:color="BFBFBF" w:themeColor="background1" w:themeShade="BF"/>
            </w:tcBorders>
            <w:shd w:val="clear" w:color="auto" w:fill="auto"/>
          </w:tcPr>
          <w:p w14:paraId="56CD855B" w14:textId="257C778D" w:rsidR="00584187" w:rsidRPr="00A453C0" w:rsidRDefault="00B148DD" w:rsidP="00584187">
            <w:pPr>
              <w:jc w:val="center"/>
              <w:rPr>
                <w:rFonts w:ascii="Calibri" w:hAnsi="Calibri"/>
                <w:sz w:val="20"/>
                <w:szCs w:val="20"/>
              </w:rPr>
            </w:pPr>
            <w:r>
              <w:rPr>
                <w:rFonts w:ascii="Calibri" w:hAnsi="Calibri"/>
                <w:sz w:val="20"/>
                <w:szCs w:val="20"/>
              </w:rPr>
              <w:t>$7,704,120</w:t>
            </w:r>
          </w:p>
        </w:tc>
      </w:tr>
      <w:tr w:rsidR="00584187" w:rsidRPr="00A453C0" w14:paraId="43CE73FD" w14:textId="77777777" w:rsidTr="001C42F5">
        <w:trPr>
          <w:trHeight w:val="284"/>
          <w:jc w:val="center"/>
        </w:trPr>
        <w:tc>
          <w:tcPr>
            <w:tcW w:w="3420" w:type="dxa"/>
            <w:tcBorders>
              <w:top w:val="single" w:sz="4" w:space="0" w:color="BFBFBF" w:themeColor="background1" w:themeShade="BF"/>
              <w:right w:val="single" w:sz="4" w:space="0" w:color="BFBFBF" w:themeColor="background1" w:themeShade="BF"/>
            </w:tcBorders>
            <w:shd w:val="clear" w:color="auto" w:fill="auto"/>
            <w:noWrap/>
            <w:vAlign w:val="bottom"/>
          </w:tcPr>
          <w:p w14:paraId="022EC66D" w14:textId="77777777" w:rsidR="00584187" w:rsidRPr="00A453C0" w:rsidRDefault="00584187" w:rsidP="00584187">
            <w:pPr>
              <w:jc w:val="right"/>
              <w:rPr>
                <w:rFonts w:ascii="Calibri" w:eastAsia="Times New Roman" w:hAnsi="Calibri" w:cs="Arial"/>
                <w:sz w:val="20"/>
                <w:szCs w:val="20"/>
              </w:rPr>
            </w:pPr>
            <w:r w:rsidRPr="00A453C0">
              <w:rPr>
                <w:rFonts w:ascii="Calibri" w:eastAsia="Times New Roman" w:hAnsi="Calibri" w:cs="Arial"/>
                <w:sz w:val="20"/>
                <w:szCs w:val="20"/>
              </w:rPr>
              <w:t>% of Total Revenue</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577EF2F4" w14:textId="39BD19F3"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2.96%</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3C3B4CB1" w14:textId="60BDEAF2"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2.77%</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49F9E8CF" w14:textId="075EDE97"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2.45%</w:t>
            </w:r>
          </w:p>
        </w:tc>
        <w:tc>
          <w:tcPr>
            <w:tcW w:w="1260" w:type="dxa"/>
            <w:tcBorders>
              <w:top w:val="single" w:sz="4" w:space="0" w:color="BFBFBF" w:themeColor="background1" w:themeShade="BF"/>
              <w:bottom w:val="single" w:sz="4" w:space="0" w:color="BFBFBF" w:themeColor="background1" w:themeShade="BF"/>
            </w:tcBorders>
            <w:shd w:val="clear" w:color="auto" w:fill="auto"/>
            <w:noWrap/>
          </w:tcPr>
          <w:p w14:paraId="1365241E" w14:textId="2BBAD5B0" w:rsidR="00584187" w:rsidRPr="00A453C0" w:rsidRDefault="00584187" w:rsidP="00584187">
            <w:pPr>
              <w:jc w:val="center"/>
              <w:rPr>
                <w:rFonts w:ascii="Calibri" w:eastAsia="Times New Roman" w:hAnsi="Calibri" w:cs="Arial"/>
                <w:sz w:val="20"/>
                <w:szCs w:val="20"/>
              </w:rPr>
            </w:pPr>
            <w:r w:rsidRPr="00A453C0">
              <w:rPr>
                <w:rFonts w:ascii="Calibri" w:hAnsi="Calibri"/>
                <w:sz w:val="20"/>
                <w:szCs w:val="20"/>
              </w:rPr>
              <w:t>1.48%</w:t>
            </w:r>
          </w:p>
        </w:tc>
        <w:tc>
          <w:tcPr>
            <w:tcW w:w="1350" w:type="dxa"/>
            <w:tcBorders>
              <w:top w:val="single" w:sz="4" w:space="0" w:color="BFBFBF" w:themeColor="background1" w:themeShade="BF"/>
              <w:bottom w:val="single" w:sz="4" w:space="0" w:color="BFBFBF" w:themeColor="background1" w:themeShade="BF"/>
            </w:tcBorders>
            <w:shd w:val="clear" w:color="auto" w:fill="auto"/>
          </w:tcPr>
          <w:p w14:paraId="2A27615A" w14:textId="573AA1E0" w:rsidR="00584187" w:rsidRPr="00A453C0" w:rsidRDefault="00B148DD" w:rsidP="00584187">
            <w:pPr>
              <w:jc w:val="center"/>
              <w:rPr>
                <w:rFonts w:ascii="Calibri" w:eastAsia="Times New Roman" w:hAnsi="Calibri" w:cs="Arial"/>
                <w:sz w:val="20"/>
                <w:szCs w:val="20"/>
              </w:rPr>
            </w:pPr>
            <w:r>
              <w:rPr>
                <w:rFonts w:ascii="Calibri" w:eastAsia="Times New Roman" w:hAnsi="Calibri" w:cs="Arial"/>
                <w:sz w:val="20"/>
                <w:szCs w:val="20"/>
              </w:rPr>
              <w:t>3.06%</w:t>
            </w:r>
          </w:p>
        </w:tc>
      </w:tr>
      <w:tr w:rsidR="00584187" w:rsidRPr="00A453C0" w14:paraId="716E7E38" w14:textId="77777777" w:rsidTr="001C42F5">
        <w:trPr>
          <w:trHeight w:val="284"/>
          <w:jc w:val="center"/>
        </w:trPr>
        <w:tc>
          <w:tcPr>
            <w:tcW w:w="3420" w:type="dxa"/>
            <w:tcBorders>
              <w:top w:val="single" w:sz="4" w:space="0" w:color="auto"/>
              <w:right w:val="single" w:sz="4" w:space="0" w:color="BFBFBF" w:themeColor="background1" w:themeShade="BF"/>
            </w:tcBorders>
            <w:shd w:val="clear" w:color="auto" w:fill="D9D9D9" w:themeFill="background1" w:themeFillShade="D9"/>
            <w:noWrap/>
            <w:vAlign w:val="bottom"/>
          </w:tcPr>
          <w:p w14:paraId="624496E3" w14:textId="77777777" w:rsidR="00584187" w:rsidRPr="00A453C0" w:rsidRDefault="00584187" w:rsidP="00584187">
            <w:pPr>
              <w:rPr>
                <w:rFonts w:ascii="Calibri" w:eastAsia="Times New Roman" w:hAnsi="Calibri" w:cs="Arial"/>
                <w:sz w:val="20"/>
                <w:szCs w:val="20"/>
              </w:rPr>
            </w:pPr>
            <w:r w:rsidRPr="00A453C0">
              <w:rPr>
                <w:rFonts w:ascii="Calibri" w:eastAsia="Times New Roman" w:hAnsi="Calibri" w:cs="Arial"/>
                <w:sz w:val="20"/>
                <w:szCs w:val="20"/>
              </w:rPr>
              <w:t>Restricted Revenues Total</w:t>
            </w:r>
          </w:p>
        </w:tc>
        <w:tc>
          <w:tcPr>
            <w:tcW w:w="1260" w:type="dxa"/>
            <w:tcBorders>
              <w:top w:val="single" w:sz="4" w:space="0" w:color="auto"/>
              <w:left w:val="single" w:sz="4" w:space="0" w:color="BFBFBF" w:themeColor="background1" w:themeShade="BF"/>
              <w:bottom w:val="single" w:sz="4" w:space="0" w:color="BFBFBF" w:themeColor="background1" w:themeShade="BF"/>
            </w:tcBorders>
            <w:shd w:val="clear" w:color="auto" w:fill="D9D9D9" w:themeFill="background1" w:themeFillShade="D9"/>
            <w:noWrap/>
          </w:tcPr>
          <w:p w14:paraId="7C5D6478" w14:textId="7A9ED84A" w:rsidR="00584187" w:rsidRPr="00A453C0" w:rsidRDefault="00584187" w:rsidP="00584187">
            <w:pPr>
              <w:jc w:val="center"/>
              <w:rPr>
                <w:rFonts w:ascii="Calibri" w:hAnsi="Calibri" w:cs="Arial"/>
                <w:sz w:val="20"/>
                <w:szCs w:val="20"/>
              </w:rPr>
            </w:pPr>
            <w:r w:rsidRPr="00A453C0">
              <w:rPr>
                <w:rFonts w:ascii="Calibri" w:hAnsi="Calibri" w:cs="Arial"/>
                <w:sz w:val="20"/>
                <w:szCs w:val="20"/>
              </w:rPr>
              <w:t>24,370,513</w:t>
            </w:r>
          </w:p>
        </w:tc>
        <w:tc>
          <w:tcPr>
            <w:tcW w:w="1350" w:type="dxa"/>
            <w:tcBorders>
              <w:top w:val="single" w:sz="4" w:space="0" w:color="auto"/>
              <w:bottom w:val="single" w:sz="4" w:space="0" w:color="BFBFBF" w:themeColor="background1" w:themeShade="BF"/>
            </w:tcBorders>
            <w:shd w:val="clear" w:color="auto" w:fill="D9D9D9" w:themeFill="background1" w:themeFillShade="D9"/>
            <w:noWrap/>
          </w:tcPr>
          <w:p w14:paraId="25E43FEA" w14:textId="39F715EA" w:rsidR="00584187" w:rsidRPr="00A453C0" w:rsidRDefault="00584187" w:rsidP="00584187">
            <w:pPr>
              <w:jc w:val="center"/>
              <w:rPr>
                <w:rFonts w:ascii="Calibri" w:hAnsi="Calibri" w:cs="Arial"/>
                <w:sz w:val="20"/>
                <w:szCs w:val="20"/>
              </w:rPr>
            </w:pPr>
            <w:r w:rsidRPr="00A453C0">
              <w:rPr>
                <w:rFonts w:ascii="Calibri" w:hAnsi="Calibri" w:cs="Arial"/>
                <w:sz w:val="20"/>
                <w:szCs w:val="20"/>
              </w:rPr>
              <w:t>19,652,331</w:t>
            </w:r>
          </w:p>
        </w:tc>
        <w:tc>
          <w:tcPr>
            <w:tcW w:w="1260" w:type="dxa"/>
            <w:tcBorders>
              <w:top w:val="single" w:sz="4" w:space="0" w:color="auto"/>
              <w:bottom w:val="single" w:sz="4" w:space="0" w:color="BFBFBF" w:themeColor="background1" w:themeShade="BF"/>
            </w:tcBorders>
            <w:shd w:val="clear" w:color="auto" w:fill="D9D9D9" w:themeFill="background1" w:themeFillShade="D9"/>
          </w:tcPr>
          <w:p w14:paraId="4074B246" w14:textId="357F74AC" w:rsidR="00584187" w:rsidRPr="00A453C0" w:rsidRDefault="00584187" w:rsidP="00B148DD">
            <w:pPr>
              <w:jc w:val="center"/>
              <w:rPr>
                <w:rFonts w:ascii="Calibri" w:hAnsi="Calibri" w:cs="Arial"/>
                <w:sz w:val="20"/>
                <w:szCs w:val="20"/>
              </w:rPr>
            </w:pPr>
            <w:r w:rsidRPr="00A453C0">
              <w:rPr>
                <w:rFonts w:ascii="Calibri" w:hAnsi="Calibri" w:cs="Arial"/>
                <w:sz w:val="20"/>
                <w:szCs w:val="20"/>
              </w:rPr>
              <w:t>2</w:t>
            </w:r>
            <w:r w:rsidR="00B148DD">
              <w:rPr>
                <w:rFonts w:ascii="Calibri" w:hAnsi="Calibri" w:cs="Arial"/>
                <w:sz w:val="20"/>
                <w:szCs w:val="20"/>
              </w:rPr>
              <w:t>3</w:t>
            </w:r>
            <w:r w:rsidRPr="00A453C0">
              <w:rPr>
                <w:rFonts w:ascii="Calibri" w:hAnsi="Calibri" w:cs="Arial"/>
                <w:sz w:val="20"/>
                <w:szCs w:val="20"/>
              </w:rPr>
              <w:t>,</w:t>
            </w:r>
            <w:r w:rsidR="00B148DD">
              <w:rPr>
                <w:rFonts w:ascii="Calibri" w:hAnsi="Calibri" w:cs="Arial"/>
                <w:sz w:val="20"/>
                <w:szCs w:val="20"/>
              </w:rPr>
              <w:t>790</w:t>
            </w:r>
            <w:r w:rsidRPr="00A453C0">
              <w:rPr>
                <w:rFonts w:ascii="Calibri" w:hAnsi="Calibri" w:cs="Arial"/>
                <w:sz w:val="20"/>
                <w:szCs w:val="20"/>
              </w:rPr>
              <w:t>,</w:t>
            </w:r>
            <w:r w:rsidR="00B148DD">
              <w:rPr>
                <w:rFonts w:ascii="Calibri" w:hAnsi="Calibri" w:cs="Arial"/>
                <w:sz w:val="20"/>
                <w:szCs w:val="20"/>
              </w:rPr>
              <w:t>969</w:t>
            </w:r>
          </w:p>
        </w:tc>
        <w:tc>
          <w:tcPr>
            <w:tcW w:w="1260" w:type="dxa"/>
            <w:tcBorders>
              <w:top w:val="single" w:sz="4" w:space="0" w:color="auto"/>
              <w:bottom w:val="single" w:sz="4" w:space="0" w:color="BFBFBF" w:themeColor="background1" w:themeShade="BF"/>
            </w:tcBorders>
            <w:shd w:val="clear" w:color="auto" w:fill="D9D9D9" w:themeFill="background1" w:themeFillShade="D9"/>
            <w:noWrap/>
          </w:tcPr>
          <w:p w14:paraId="57E7FF18" w14:textId="7870ED96" w:rsidR="00584187" w:rsidRPr="00A453C0" w:rsidRDefault="00584187" w:rsidP="00B148DD">
            <w:pPr>
              <w:jc w:val="center"/>
              <w:rPr>
                <w:rFonts w:ascii="Calibri" w:hAnsi="Calibri" w:cs="Arial"/>
                <w:sz w:val="20"/>
                <w:szCs w:val="20"/>
              </w:rPr>
            </w:pPr>
            <w:r w:rsidRPr="00A453C0">
              <w:rPr>
                <w:rFonts w:ascii="Calibri" w:hAnsi="Calibri" w:cs="Arial"/>
                <w:sz w:val="20"/>
                <w:szCs w:val="20"/>
              </w:rPr>
              <w:t>31,7</w:t>
            </w:r>
            <w:r w:rsidR="00B148DD">
              <w:rPr>
                <w:rFonts w:ascii="Calibri" w:hAnsi="Calibri" w:cs="Arial"/>
                <w:sz w:val="20"/>
                <w:szCs w:val="20"/>
              </w:rPr>
              <w:t>24</w:t>
            </w:r>
            <w:r w:rsidRPr="00A453C0">
              <w:rPr>
                <w:rFonts w:ascii="Calibri" w:hAnsi="Calibri" w:cs="Arial"/>
                <w:sz w:val="20"/>
                <w:szCs w:val="20"/>
              </w:rPr>
              <w:t>,</w:t>
            </w:r>
            <w:r w:rsidR="00B148DD">
              <w:rPr>
                <w:rFonts w:ascii="Calibri" w:hAnsi="Calibri" w:cs="Arial"/>
                <w:sz w:val="20"/>
                <w:szCs w:val="20"/>
              </w:rPr>
              <w:t>859</w:t>
            </w:r>
          </w:p>
        </w:tc>
        <w:tc>
          <w:tcPr>
            <w:tcW w:w="1350" w:type="dxa"/>
            <w:tcBorders>
              <w:top w:val="single" w:sz="4" w:space="0" w:color="auto"/>
              <w:bottom w:val="single" w:sz="4" w:space="0" w:color="BFBFBF" w:themeColor="background1" w:themeShade="BF"/>
            </w:tcBorders>
            <w:shd w:val="clear" w:color="auto" w:fill="D9D9D9" w:themeFill="background1" w:themeFillShade="D9"/>
          </w:tcPr>
          <w:p w14:paraId="7A32297C" w14:textId="3A8764F1" w:rsidR="00584187" w:rsidRPr="00A453C0" w:rsidRDefault="00B148DD" w:rsidP="00B148DD">
            <w:pPr>
              <w:jc w:val="center"/>
              <w:rPr>
                <w:rFonts w:ascii="Calibri" w:hAnsi="Calibri" w:cs="Arial"/>
                <w:sz w:val="20"/>
                <w:szCs w:val="20"/>
              </w:rPr>
            </w:pPr>
            <w:r>
              <w:rPr>
                <w:rFonts w:ascii="Calibri" w:hAnsi="Calibri" w:cs="Arial"/>
                <w:sz w:val="20"/>
                <w:szCs w:val="20"/>
              </w:rPr>
              <w:t>39,144,844</w:t>
            </w:r>
          </w:p>
        </w:tc>
      </w:tr>
      <w:tr w:rsidR="00584187" w:rsidRPr="00A453C0" w14:paraId="725F047C" w14:textId="77777777" w:rsidTr="001C42F5">
        <w:trPr>
          <w:trHeight w:val="284"/>
          <w:jc w:val="center"/>
        </w:trPr>
        <w:tc>
          <w:tcPr>
            <w:tcW w:w="3420" w:type="dxa"/>
            <w:tcBorders>
              <w:top w:val="single" w:sz="4" w:space="0" w:color="auto"/>
              <w:right w:val="single" w:sz="4" w:space="0" w:color="BFBFBF" w:themeColor="background1" w:themeShade="BF"/>
            </w:tcBorders>
            <w:shd w:val="clear" w:color="auto" w:fill="D9D9D9" w:themeFill="background1" w:themeFillShade="D9"/>
            <w:noWrap/>
            <w:vAlign w:val="bottom"/>
          </w:tcPr>
          <w:p w14:paraId="36ED1412" w14:textId="77777777" w:rsidR="00584187" w:rsidRPr="00A453C0" w:rsidRDefault="00584187" w:rsidP="00584187">
            <w:pPr>
              <w:jc w:val="right"/>
              <w:rPr>
                <w:rFonts w:ascii="Calibri" w:eastAsia="Times New Roman" w:hAnsi="Calibri" w:cs="Arial"/>
                <w:sz w:val="20"/>
                <w:szCs w:val="20"/>
              </w:rPr>
            </w:pPr>
            <w:r w:rsidRPr="00A453C0">
              <w:rPr>
                <w:rFonts w:ascii="Calibri" w:eastAsia="Times New Roman" w:hAnsi="Calibri" w:cs="Arial"/>
                <w:sz w:val="20"/>
                <w:szCs w:val="20"/>
              </w:rPr>
              <w:t>% of Total Revenue</w:t>
            </w:r>
          </w:p>
        </w:tc>
        <w:tc>
          <w:tcPr>
            <w:tcW w:w="1260" w:type="dxa"/>
            <w:tcBorders>
              <w:top w:val="single" w:sz="4" w:space="0" w:color="auto"/>
              <w:left w:val="single" w:sz="4" w:space="0" w:color="BFBFBF" w:themeColor="background1" w:themeShade="BF"/>
              <w:bottom w:val="single" w:sz="4" w:space="0" w:color="BFBFBF" w:themeColor="background1" w:themeShade="BF"/>
            </w:tcBorders>
            <w:shd w:val="clear" w:color="auto" w:fill="D9D9D9" w:themeFill="background1" w:themeFillShade="D9"/>
            <w:noWrap/>
          </w:tcPr>
          <w:p w14:paraId="4027B567" w14:textId="0FD16F72" w:rsidR="00584187" w:rsidRPr="00A453C0" w:rsidRDefault="00584187" w:rsidP="00584187">
            <w:pPr>
              <w:jc w:val="center"/>
              <w:rPr>
                <w:rFonts w:ascii="Calibri" w:hAnsi="Calibri"/>
                <w:sz w:val="20"/>
                <w:szCs w:val="20"/>
              </w:rPr>
            </w:pPr>
            <w:r w:rsidRPr="00A453C0">
              <w:rPr>
                <w:rFonts w:ascii="Calibri" w:hAnsi="Calibri" w:cs="Arial"/>
                <w:sz w:val="20"/>
                <w:szCs w:val="20"/>
              </w:rPr>
              <w:t>11.84%</w:t>
            </w:r>
          </w:p>
        </w:tc>
        <w:tc>
          <w:tcPr>
            <w:tcW w:w="1350" w:type="dxa"/>
            <w:tcBorders>
              <w:top w:val="single" w:sz="4" w:space="0" w:color="auto"/>
              <w:bottom w:val="single" w:sz="4" w:space="0" w:color="BFBFBF" w:themeColor="background1" w:themeShade="BF"/>
            </w:tcBorders>
            <w:shd w:val="clear" w:color="auto" w:fill="D9D9D9" w:themeFill="background1" w:themeFillShade="D9"/>
            <w:noWrap/>
          </w:tcPr>
          <w:p w14:paraId="4E671978" w14:textId="3B3C3533" w:rsidR="00584187" w:rsidRPr="00A453C0" w:rsidRDefault="00584187" w:rsidP="00584187">
            <w:pPr>
              <w:jc w:val="center"/>
              <w:rPr>
                <w:rFonts w:ascii="Calibri" w:hAnsi="Calibri"/>
                <w:sz w:val="20"/>
                <w:szCs w:val="20"/>
              </w:rPr>
            </w:pPr>
            <w:r w:rsidRPr="00A453C0">
              <w:rPr>
                <w:rFonts w:ascii="Calibri" w:hAnsi="Calibri" w:cs="Arial"/>
                <w:sz w:val="20"/>
                <w:szCs w:val="20"/>
              </w:rPr>
              <w:t>9.89%</w:t>
            </w:r>
          </w:p>
        </w:tc>
        <w:tc>
          <w:tcPr>
            <w:tcW w:w="1260" w:type="dxa"/>
            <w:tcBorders>
              <w:top w:val="single" w:sz="4" w:space="0" w:color="auto"/>
              <w:bottom w:val="single" w:sz="4" w:space="0" w:color="BFBFBF" w:themeColor="background1" w:themeShade="BF"/>
            </w:tcBorders>
            <w:shd w:val="clear" w:color="auto" w:fill="D9D9D9" w:themeFill="background1" w:themeFillShade="D9"/>
          </w:tcPr>
          <w:p w14:paraId="6448DD65" w14:textId="7CEC47B7" w:rsidR="00584187" w:rsidRPr="00A453C0" w:rsidRDefault="00584187" w:rsidP="00584187">
            <w:pPr>
              <w:jc w:val="center"/>
              <w:rPr>
                <w:rFonts w:ascii="Calibri" w:hAnsi="Calibri"/>
                <w:sz w:val="20"/>
                <w:szCs w:val="20"/>
              </w:rPr>
            </w:pPr>
            <w:r w:rsidRPr="00A453C0">
              <w:rPr>
                <w:rFonts w:ascii="Calibri" w:hAnsi="Calibri" w:cs="Arial"/>
                <w:sz w:val="20"/>
                <w:szCs w:val="20"/>
              </w:rPr>
              <w:t>11.10%</w:t>
            </w:r>
          </w:p>
        </w:tc>
        <w:tc>
          <w:tcPr>
            <w:tcW w:w="1260" w:type="dxa"/>
            <w:tcBorders>
              <w:top w:val="single" w:sz="4" w:space="0" w:color="auto"/>
              <w:bottom w:val="single" w:sz="4" w:space="0" w:color="BFBFBF" w:themeColor="background1" w:themeShade="BF"/>
            </w:tcBorders>
            <w:shd w:val="clear" w:color="auto" w:fill="D9D9D9" w:themeFill="background1" w:themeFillShade="D9"/>
            <w:noWrap/>
          </w:tcPr>
          <w:p w14:paraId="5A624C7F" w14:textId="7468ED60" w:rsidR="00584187" w:rsidRPr="00A453C0" w:rsidRDefault="00584187" w:rsidP="00584187">
            <w:pPr>
              <w:jc w:val="center"/>
              <w:rPr>
                <w:rFonts w:ascii="Calibri" w:hAnsi="Calibri"/>
                <w:sz w:val="20"/>
                <w:szCs w:val="20"/>
              </w:rPr>
            </w:pPr>
            <w:r w:rsidRPr="00A453C0">
              <w:rPr>
                <w:rFonts w:ascii="Calibri" w:hAnsi="Calibri" w:cs="Arial"/>
                <w:sz w:val="20"/>
                <w:szCs w:val="20"/>
              </w:rPr>
              <w:t>12.34%</w:t>
            </w:r>
          </w:p>
        </w:tc>
        <w:tc>
          <w:tcPr>
            <w:tcW w:w="1350" w:type="dxa"/>
            <w:tcBorders>
              <w:top w:val="single" w:sz="4" w:space="0" w:color="auto"/>
              <w:bottom w:val="single" w:sz="4" w:space="0" w:color="BFBFBF" w:themeColor="background1" w:themeShade="BF"/>
            </w:tcBorders>
            <w:shd w:val="clear" w:color="auto" w:fill="D9D9D9" w:themeFill="background1" w:themeFillShade="D9"/>
          </w:tcPr>
          <w:p w14:paraId="081D980E" w14:textId="39E51719" w:rsidR="00584187" w:rsidRPr="00A453C0" w:rsidRDefault="00B148DD" w:rsidP="00584187">
            <w:pPr>
              <w:jc w:val="center"/>
              <w:rPr>
                <w:rFonts w:ascii="Calibri" w:hAnsi="Calibri"/>
                <w:sz w:val="20"/>
                <w:szCs w:val="20"/>
              </w:rPr>
            </w:pPr>
            <w:r>
              <w:rPr>
                <w:rFonts w:ascii="Calibri" w:hAnsi="Calibri"/>
                <w:sz w:val="20"/>
                <w:szCs w:val="20"/>
              </w:rPr>
              <w:t>15.6</w:t>
            </w:r>
            <w:r w:rsidR="0023620F">
              <w:rPr>
                <w:rFonts w:ascii="Calibri" w:hAnsi="Calibri"/>
                <w:sz w:val="20"/>
                <w:szCs w:val="20"/>
              </w:rPr>
              <w:t>0</w:t>
            </w:r>
            <w:r>
              <w:rPr>
                <w:rFonts w:ascii="Calibri" w:hAnsi="Calibri"/>
                <w:sz w:val="20"/>
                <w:szCs w:val="20"/>
              </w:rPr>
              <w:t>%</w:t>
            </w:r>
          </w:p>
        </w:tc>
      </w:tr>
      <w:tr w:rsidR="00584187" w:rsidRPr="00A453C0" w14:paraId="63805304" w14:textId="77777777" w:rsidTr="001C42F5">
        <w:trPr>
          <w:trHeight w:val="284"/>
          <w:jc w:val="center"/>
        </w:trPr>
        <w:tc>
          <w:tcPr>
            <w:tcW w:w="3420" w:type="dxa"/>
            <w:tcBorders>
              <w:bottom w:val="single" w:sz="4" w:space="0" w:color="BFBFBF" w:themeColor="background1" w:themeShade="BF"/>
              <w:right w:val="single" w:sz="4" w:space="0" w:color="BFBFBF" w:themeColor="background1" w:themeShade="BF"/>
            </w:tcBorders>
            <w:shd w:val="clear" w:color="auto" w:fill="auto"/>
            <w:noWrap/>
            <w:vAlign w:val="bottom"/>
          </w:tcPr>
          <w:p w14:paraId="423BFA1D" w14:textId="77777777" w:rsidR="00584187" w:rsidRPr="00A453C0" w:rsidRDefault="00584187" w:rsidP="00584187">
            <w:pPr>
              <w:jc w:val="right"/>
              <w:rPr>
                <w:rFonts w:ascii="Calibri" w:eastAsia="Times New Roman" w:hAnsi="Calibri" w:cs="Arial"/>
                <w:sz w:val="20"/>
                <w:szCs w:val="20"/>
              </w:rPr>
            </w:pPr>
            <w:r w:rsidRPr="00A453C0">
              <w:rPr>
                <w:rFonts w:ascii="Calibri" w:eastAsia="Times New Roman" w:hAnsi="Calibri" w:cs="Arial"/>
                <w:sz w:val="20"/>
                <w:szCs w:val="20"/>
              </w:rPr>
              <w:t>Total Revenues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11F70820" w14:textId="067CD477" w:rsidR="00584187" w:rsidRPr="00A453C0" w:rsidRDefault="00584187" w:rsidP="00B148DD">
            <w:pPr>
              <w:jc w:val="center"/>
              <w:rPr>
                <w:rFonts w:ascii="Calibri" w:hAnsi="Calibri"/>
                <w:sz w:val="20"/>
                <w:szCs w:val="20"/>
              </w:rPr>
            </w:pPr>
            <w:r w:rsidRPr="00A453C0">
              <w:rPr>
                <w:rFonts w:ascii="Calibri" w:hAnsi="Calibri" w:cs="Arial"/>
                <w:sz w:val="20"/>
                <w:szCs w:val="20"/>
              </w:rPr>
              <w:t>205,880,43</w:t>
            </w:r>
            <w:r w:rsidR="00B148DD">
              <w:rPr>
                <w:rFonts w:ascii="Calibri" w:hAnsi="Calibri" w:cs="Arial"/>
                <w:sz w:val="20"/>
                <w:szCs w:val="20"/>
              </w:rPr>
              <w:t>5</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4CFF6215" w14:textId="00F6C7A5" w:rsidR="00584187" w:rsidRPr="00A453C0" w:rsidRDefault="00584187" w:rsidP="00B148DD">
            <w:pPr>
              <w:jc w:val="center"/>
              <w:rPr>
                <w:rFonts w:ascii="Calibri" w:hAnsi="Calibri"/>
                <w:sz w:val="20"/>
                <w:szCs w:val="20"/>
              </w:rPr>
            </w:pPr>
            <w:r w:rsidRPr="00A453C0">
              <w:rPr>
                <w:rFonts w:ascii="Calibri" w:hAnsi="Calibri" w:cs="Arial"/>
                <w:sz w:val="20"/>
                <w:szCs w:val="20"/>
              </w:rPr>
              <w:t>198,727,11</w:t>
            </w:r>
            <w:r w:rsidR="00B148DD">
              <w:rPr>
                <w:rFonts w:ascii="Calibri" w:hAnsi="Calibri" w:cs="Arial"/>
                <w:sz w:val="20"/>
                <w:szCs w:val="20"/>
              </w:rPr>
              <w:t>7</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7C628AC7" w14:textId="79AED157" w:rsidR="00584187" w:rsidRPr="00A453C0" w:rsidRDefault="00584187" w:rsidP="00584187">
            <w:pPr>
              <w:jc w:val="center"/>
              <w:rPr>
                <w:rFonts w:ascii="Calibri" w:hAnsi="Calibri"/>
                <w:sz w:val="20"/>
                <w:szCs w:val="20"/>
              </w:rPr>
            </w:pPr>
            <w:r w:rsidRPr="00A453C0">
              <w:rPr>
                <w:rFonts w:ascii="Calibri" w:hAnsi="Calibri" w:cs="Arial"/>
                <w:sz w:val="20"/>
                <w:szCs w:val="20"/>
              </w:rPr>
              <w:t>214,388,903</w:t>
            </w:r>
          </w:p>
        </w:tc>
        <w:tc>
          <w:tcPr>
            <w:tcW w:w="1260" w:type="dxa"/>
            <w:tcBorders>
              <w:top w:val="single" w:sz="4" w:space="0" w:color="BFBFBF" w:themeColor="background1" w:themeShade="BF"/>
              <w:bottom w:val="single" w:sz="4" w:space="0" w:color="BFBFBF" w:themeColor="background1" w:themeShade="BF"/>
            </w:tcBorders>
            <w:shd w:val="clear" w:color="auto" w:fill="auto"/>
            <w:noWrap/>
          </w:tcPr>
          <w:p w14:paraId="6B72FB9C" w14:textId="56EE5E54" w:rsidR="00584187" w:rsidRPr="00A453C0" w:rsidRDefault="00584187" w:rsidP="00584187">
            <w:pPr>
              <w:jc w:val="center"/>
              <w:rPr>
                <w:rFonts w:ascii="Calibri" w:hAnsi="Calibri"/>
                <w:sz w:val="20"/>
                <w:szCs w:val="20"/>
              </w:rPr>
            </w:pPr>
            <w:r w:rsidRPr="00A453C0">
              <w:rPr>
                <w:rFonts w:ascii="Calibri" w:hAnsi="Calibri"/>
                <w:sz w:val="20"/>
                <w:szCs w:val="20"/>
              </w:rPr>
              <w:t>257,140,218</w:t>
            </w:r>
          </w:p>
        </w:tc>
        <w:tc>
          <w:tcPr>
            <w:tcW w:w="1350" w:type="dxa"/>
            <w:tcBorders>
              <w:top w:val="single" w:sz="4" w:space="0" w:color="BFBFBF" w:themeColor="background1" w:themeShade="BF"/>
              <w:bottom w:val="single" w:sz="4" w:space="0" w:color="BFBFBF" w:themeColor="background1" w:themeShade="BF"/>
            </w:tcBorders>
            <w:shd w:val="clear" w:color="auto" w:fill="auto"/>
          </w:tcPr>
          <w:p w14:paraId="352B91AC" w14:textId="5C954BD5" w:rsidR="00584187" w:rsidRPr="00A453C0" w:rsidRDefault="00B148DD" w:rsidP="00584187">
            <w:pPr>
              <w:jc w:val="center"/>
              <w:rPr>
                <w:rFonts w:ascii="Calibri" w:hAnsi="Calibri"/>
                <w:sz w:val="20"/>
                <w:szCs w:val="20"/>
              </w:rPr>
            </w:pPr>
            <w:r>
              <w:rPr>
                <w:rFonts w:ascii="Calibri" w:hAnsi="Calibri"/>
                <w:sz w:val="20"/>
                <w:szCs w:val="20"/>
              </w:rPr>
              <w:t>251,619,785</w:t>
            </w:r>
          </w:p>
        </w:tc>
      </w:tr>
    </w:tbl>
    <w:p w14:paraId="4CFDB0FF" w14:textId="77777777" w:rsidR="002A30E5" w:rsidRPr="00A453C0" w:rsidRDefault="002A30E5" w:rsidP="002A30E5">
      <w:pPr>
        <w:autoSpaceDE w:val="0"/>
        <w:autoSpaceDN w:val="0"/>
        <w:adjustRightInd w:val="0"/>
        <w:rPr>
          <w:bCs/>
          <w:sz w:val="16"/>
          <w:szCs w:val="16"/>
        </w:rPr>
      </w:pPr>
      <w:bookmarkStart w:id="127" w:name="_Toc341183259"/>
      <w:r w:rsidRPr="00A453C0">
        <w:rPr>
          <w:bCs/>
          <w:sz w:val="16"/>
          <w:szCs w:val="16"/>
        </w:rPr>
        <w:t>Source: Fiscal Executive Summary Cube</w:t>
      </w:r>
    </w:p>
    <w:p w14:paraId="3B7BF9BC" w14:textId="77777777" w:rsidR="002A30E5" w:rsidRPr="008553AE" w:rsidRDefault="002A30E5" w:rsidP="002A30E5">
      <w:pPr>
        <w:pStyle w:val="Heading2"/>
        <w:rPr>
          <w:color w:val="auto"/>
        </w:rPr>
      </w:pPr>
      <w:bookmarkStart w:id="128" w:name="_Toc506217438"/>
      <w:r w:rsidRPr="008553AE">
        <w:rPr>
          <w:color w:val="auto"/>
        </w:rPr>
        <w:t>Salaries and Fringe Benefits</w:t>
      </w:r>
      <w:bookmarkEnd w:id="126"/>
      <w:bookmarkEnd w:id="127"/>
      <w:bookmarkEnd w:id="128"/>
    </w:p>
    <w:p w14:paraId="1E2865A2" w14:textId="77777777" w:rsidR="002A30E5" w:rsidRPr="008553AE" w:rsidRDefault="002A30E5" w:rsidP="002A30E5">
      <w:pPr>
        <w:keepNext/>
        <w:autoSpaceDE w:val="0"/>
        <w:autoSpaceDN w:val="0"/>
        <w:adjustRightInd w:val="0"/>
        <w:rPr>
          <w:sz w:val="16"/>
          <w:szCs w:val="16"/>
        </w:rPr>
      </w:pPr>
    </w:p>
    <w:p w14:paraId="0ECFC482" w14:textId="12F4EAF9" w:rsidR="002A30E5" w:rsidRPr="008553AE" w:rsidRDefault="002A30E5" w:rsidP="002A30E5">
      <w:pPr>
        <w:keepNext/>
        <w:autoSpaceDE w:val="0"/>
        <w:autoSpaceDN w:val="0"/>
        <w:adjustRightInd w:val="0"/>
      </w:pPr>
      <w:r w:rsidRPr="008553AE">
        <w:t xml:space="preserve">Total salaries and fringe benefits represented </w:t>
      </w:r>
      <w:r w:rsidR="0023620F">
        <w:t>82.4</w:t>
      </w:r>
      <w:r w:rsidRPr="008553AE">
        <w:t>% of total revenues from restricted and unrestricted funds in FY</w:t>
      </w:r>
      <w:r w:rsidR="00806EDD">
        <w:t xml:space="preserve"> </w:t>
      </w:r>
      <w:r w:rsidRPr="008553AE">
        <w:t>201</w:t>
      </w:r>
      <w:r w:rsidR="0023620F">
        <w:t>6</w:t>
      </w:r>
      <w:r w:rsidRPr="008553AE">
        <w:t>-1</w:t>
      </w:r>
      <w:r w:rsidR="0023620F">
        <w:t>7</w:t>
      </w:r>
      <w:r w:rsidRPr="008553AE">
        <w:t xml:space="preserve">. </w:t>
      </w:r>
    </w:p>
    <w:p w14:paraId="53B25BBC" w14:textId="77777777" w:rsidR="002A30E5" w:rsidRPr="00B9364B" w:rsidRDefault="002A30E5" w:rsidP="002A30E5">
      <w:pPr>
        <w:keepNext/>
        <w:autoSpaceDE w:val="0"/>
        <w:autoSpaceDN w:val="0"/>
        <w:adjustRightInd w:val="0"/>
        <w:rPr>
          <w:rFonts w:ascii="Franklin Gothic Book" w:eastAsia="Franklin Gothic Book" w:hAnsi="Franklin Gothic Book" w:cs="Times New Roman"/>
          <w:bCs/>
          <w:color w:val="FF0000"/>
          <w:sz w:val="16"/>
          <w:szCs w:val="16"/>
        </w:rPr>
      </w:pPr>
    </w:p>
    <w:p w14:paraId="7C761116" w14:textId="77777777" w:rsidR="002A30E5" w:rsidRPr="00847E60" w:rsidRDefault="002A30E5" w:rsidP="002A30E5">
      <w:pPr>
        <w:keepNext/>
        <w:autoSpaceDE w:val="0"/>
        <w:autoSpaceDN w:val="0"/>
        <w:adjustRightInd w:val="0"/>
        <w:jc w:val="center"/>
        <w:rPr>
          <w:rFonts w:ascii="Calibri" w:hAnsi="Calibri"/>
          <w:b/>
        </w:rPr>
      </w:pPr>
      <w:r w:rsidRPr="00847E60">
        <w:rPr>
          <w:rFonts w:ascii="Calibri" w:hAnsi="Calibri"/>
          <w:b/>
        </w:rPr>
        <w:t>Total Salaries &amp; Benefits as a Percentage of Total Restricted and Unrestricted Revenues</w:t>
      </w:r>
    </w:p>
    <w:tbl>
      <w:tblPr>
        <w:tblW w:w="0" w:type="auto"/>
        <w:jc w:val="center"/>
        <w:tblLayout w:type="fixed"/>
        <w:tblLook w:val="04A0" w:firstRow="1" w:lastRow="0" w:firstColumn="1" w:lastColumn="0" w:noHBand="0" w:noVBand="1"/>
      </w:tblPr>
      <w:tblGrid>
        <w:gridCol w:w="2954"/>
        <w:gridCol w:w="1276"/>
        <w:gridCol w:w="1350"/>
        <w:gridCol w:w="1440"/>
        <w:gridCol w:w="1440"/>
        <w:gridCol w:w="1440"/>
      </w:tblGrid>
      <w:tr w:rsidR="00584187" w:rsidRPr="00847E60" w14:paraId="5DEFDCD5" w14:textId="77777777" w:rsidTr="001C42F5">
        <w:trPr>
          <w:trHeight w:val="309"/>
          <w:jc w:val="center"/>
        </w:trPr>
        <w:tc>
          <w:tcPr>
            <w:tcW w:w="2954"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587A785E" w14:textId="77777777" w:rsidR="00584187" w:rsidRPr="00847E60" w:rsidRDefault="00584187" w:rsidP="00584187">
            <w:pPr>
              <w:keepNext/>
              <w:rPr>
                <w:rFonts w:ascii="Calibri" w:eastAsia="Times New Roman" w:hAnsi="Calibri" w:cs="Arial"/>
                <w:b/>
                <w:sz w:val="20"/>
                <w:szCs w:val="20"/>
              </w:rPr>
            </w:pPr>
          </w:p>
        </w:tc>
        <w:tc>
          <w:tcPr>
            <w:tcW w:w="1276"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6D68A642" w14:textId="22722954" w:rsidR="00584187" w:rsidRPr="00847E60" w:rsidRDefault="00584187" w:rsidP="00584187">
            <w:pPr>
              <w:keepNext/>
              <w:jc w:val="center"/>
              <w:rPr>
                <w:rFonts w:ascii="Calibri" w:eastAsia="Times New Roman" w:hAnsi="Calibri" w:cs="Arial"/>
                <w:b/>
                <w:sz w:val="20"/>
                <w:szCs w:val="20"/>
              </w:rPr>
            </w:pPr>
            <w:r w:rsidRPr="00847E60">
              <w:rPr>
                <w:rFonts w:ascii="Calibri" w:eastAsia="Times New Roman" w:hAnsi="Calibri" w:cs="Arial"/>
                <w:b/>
                <w:sz w:val="20"/>
                <w:szCs w:val="20"/>
              </w:rPr>
              <w:t>FY  2012-13</w:t>
            </w:r>
          </w:p>
        </w:tc>
        <w:tc>
          <w:tcPr>
            <w:tcW w:w="1350" w:type="dxa"/>
            <w:tcBorders>
              <w:top w:val="single" w:sz="4" w:space="0" w:color="BFBFBF" w:themeColor="background1" w:themeShade="BF"/>
              <w:bottom w:val="single" w:sz="4" w:space="0" w:color="auto"/>
            </w:tcBorders>
            <w:shd w:val="clear" w:color="auto" w:fill="D9D9D9" w:themeFill="background1" w:themeFillShade="D9"/>
            <w:noWrap/>
            <w:vAlign w:val="bottom"/>
          </w:tcPr>
          <w:p w14:paraId="62BF1255" w14:textId="23558773" w:rsidR="00584187" w:rsidRPr="00847E60" w:rsidRDefault="00584187" w:rsidP="00584187">
            <w:pPr>
              <w:keepNext/>
              <w:jc w:val="center"/>
              <w:rPr>
                <w:rFonts w:ascii="Calibri" w:eastAsia="Times New Roman" w:hAnsi="Calibri" w:cs="Arial"/>
                <w:b/>
                <w:sz w:val="20"/>
                <w:szCs w:val="20"/>
              </w:rPr>
            </w:pPr>
            <w:r w:rsidRPr="00847E60">
              <w:rPr>
                <w:rFonts w:ascii="Calibri" w:eastAsia="Times New Roman" w:hAnsi="Calibri" w:cs="Arial"/>
                <w:b/>
                <w:sz w:val="20"/>
                <w:szCs w:val="20"/>
              </w:rPr>
              <w:t>FY  2013-14</w:t>
            </w:r>
          </w:p>
        </w:tc>
        <w:tc>
          <w:tcPr>
            <w:tcW w:w="1440" w:type="dxa"/>
            <w:tcBorders>
              <w:top w:val="single" w:sz="4" w:space="0" w:color="BFBFBF" w:themeColor="background1" w:themeShade="BF"/>
              <w:bottom w:val="single" w:sz="4" w:space="0" w:color="auto"/>
            </w:tcBorders>
            <w:shd w:val="clear" w:color="auto" w:fill="D9D9D9" w:themeFill="background1" w:themeFillShade="D9"/>
            <w:vAlign w:val="bottom"/>
          </w:tcPr>
          <w:p w14:paraId="572F377F" w14:textId="0650129A" w:rsidR="00584187" w:rsidRPr="00847E60" w:rsidRDefault="00584187" w:rsidP="00584187">
            <w:pPr>
              <w:keepNext/>
              <w:jc w:val="center"/>
              <w:rPr>
                <w:rFonts w:ascii="Calibri" w:eastAsia="Times New Roman" w:hAnsi="Calibri" w:cs="Arial"/>
                <w:b/>
                <w:sz w:val="20"/>
                <w:szCs w:val="20"/>
              </w:rPr>
            </w:pPr>
            <w:r w:rsidRPr="00847E60">
              <w:rPr>
                <w:rFonts w:ascii="Calibri" w:eastAsia="Times New Roman" w:hAnsi="Calibri" w:cs="Arial"/>
                <w:b/>
                <w:sz w:val="20"/>
                <w:szCs w:val="20"/>
              </w:rPr>
              <w:t>FY  2014-15</w:t>
            </w:r>
          </w:p>
        </w:tc>
        <w:tc>
          <w:tcPr>
            <w:tcW w:w="1440" w:type="dxa"/>
            <w:tcBorders>
              <w:top w:val="single" w:sz="4" w:space="0" w:color="BFBFBF" w:themeColor="background1" w:themeShade="BF"/>
              <w:bottom w:val="single" w:sz="4" w:space="0" w:color="auto"/>
            </w:tcBorders>
            <w:shd w:val="clear" w:color="auto" w:fill="D9D9D9" w:themeFill="background1" w:themeFillShade="D9"/>
            <w:noWrap/>
            <w:vAlign w:val="bottom"/>
          </w:tcPr>
          <w:p w14:paraId="4970DD33" w14:textId="48020011" w:rsidR="00584187" w:rsidRPr="00847E60" w:rsidRDefault="00584187" w:rsidP="00584187">
            <w:pPr>
              <w:keepNext/>
              <w:jc w:val="center"/>
              <w:rPr>
                <w:rFonts w:ascii="Calibri" w:eastAsia="Times New Roman" w:hAnsi="Calibri" w:cs="Arial"/>
                <w:b/>
                <w:sz w:val="20"/>
                <w:szCs w:val="20"/>
              </w:rPr>
            </w:pPr>
            <w:r w:rsidRPr="00847E60">
              <w:rPr>
                <w:rFonts w:ascii="Calibri" w:eastAsia="Times New Roman" w:hAnsi="Calibri" w:cs="Arial"/>
                <w:b/>
                <w:sz w:val="20"/>
                <w:szCs w:val="20"/>
              </w:rPr>
              <w:t>FY  2015-16</w:t>
            </w:r>
          </w:p>
        </w:tc>
        <w:tc>
          <w:tcPr>
            <w:tcW w:w="1440" w:type="dxa"/>
            <w:tcBorders>
              <w:top w:val="single" w:sz="4" w:space="0" w:color="BFBFBF" w:themeColor="background1" w:themeShade="BF"/>
              <w:bottom w:val="single" w:sz="4" w:space="0" w:color="auto"/>
            </w:tcBorders>
            <w:shd w:val="clear" w:color="auto" w:fill="D9D9D9" w:themeFill="background1" w:themeFillShade="D9"/>
            <w:vAlign w:val="bottom"/>
          </w:tcPr>
          <w:p w14:paraId="09E2D41C" w14:textId="5661CB0C" w:rsidR="00584187" w:rsidRPr="00847E60" w:rsidRDefault="00584187" w:rsidP="00584187">
            <w:pPr>
              <w:keepNext/>
              <w:jc w:val="center"/>
              <w:rPr>
                <w:rFonts w:ascii="Calibri" w:eastAsia="Times New Roman" w:hAnsi="Calibri" w:cs="Arial"/>
                <w:b/>
                <w:sz w:val="20"/>
                <w:szCs w:val="20"/>
              </w:rPr>
            </w:pPr>
            <w:r w:rsidRPr="00847E60">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847E60" w14:paraId="5D40272D" w14:textId="77777777" w:rsidTr="001C42F5">
        <w:trPr>
          <w:trHeight w:val="309"/>
          <w:jc w:val="center"/>
        </w:trPr>
        <w:tc>
          <w:tcPr>
            <w:tcW w:w="2954" w:type="dxa"/>
            <w:tcBorders>
              <w:top w:val="single" w:sz="4" w:space="0" w:color="BFBFBF" w:themeColor="background1" w:themeShade="BF"/>
              <w:right w:val="single" w:sz="4" w:space="0" w:color="BFBFBF" w:themeColor="background1" w:themeShade="BF"/>
            </w:tcBorders>
            <w:shd w:val="clear" w:color="auto" w:fill="FBD4B4" w:themeFill="accent6" w:themeFillTint="66"/>
            <w:noWrap/>
            <w:vAlign w:val="bottom"/>
          </w:tcPr>
          <w:p w14:paraId="55F7CD17" w14:textId="77777777" w:rsidR="00584187" w:rsidRPr="00847E60" w:rsidRDefault="00584187" w:rsidP="00584187">
            <w:pPr>
              <w:keepNext/>
              <w:rPr>
                <w:rFonts w:ascii="Calibri" w:eastAsia="Times New Roman" w:hAnsi="Calibri" w:cs="Arial"/>
                <w:sz w:val="20"/>
                <w:szCs w:val="20"/>
              </w:rPr>
            </w:pPr>
            <w:r w:rsidRPr="00847E60">
              <w:rPr>
                <w:rFonts w:ascii="Calibri" w:eastAsia="Times New Roman" w:hAnsi="Calibri" w:cs="Arial"/>
                <w:sz w:val="20"/>
                <w:szCs w:val="20"/>
              </w:rPr>
              <w:t>Orange  Coast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1E83D2E9" w14:textId="3F32B868"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70,698,883</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423EE92B" w14:textId="04869CFB"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69,026,181</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0283FD21" w14:textId="49827609"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75,812,489</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1C927AAF" w14:textId="206EAD48"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79,099,041</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3A795F0C" w14:textId="462788C2" w:rsidR="00584187" w:rsidRPr="00847E60" w:rsidRDefault="00B148DD" w:rsidP="00584187">
            <w:pPr>
              <w:keepNext/>
              <w:jc w:val="center"/>
              <w:rPr>
                <w:rFonts w:ascii="Calibri" w:eastAsia="Times New Roman" w:hAnsi="Calibri" w:cs="Arial"/>
                <w:sz w:val="20"/>
                <w:szCs w:val="20"/>
              </w:rPr>
            </w:pPr>
            <w:r w:rsidRPr="00B148DD">
              <w:rPr>
                <w:rFonts w:ascii="Calibri" w:eastAsia="Times New Roman" w:hAnsi="Calibri" w:cs="Arial"/>
                <w:sz w:val="20"/>
                <w:szCs w:val="20"/>
              </w:rPr>
              <w:t>$84,558,655</w:t>
            </w:r>
          </w:p>
        </w:tc>
      </w:tr>
      <w:tr w:rsidR="00584187" w:rsidRPr="00847E60" w14:paraId="1B4661DF" w14:textId="77777777" w:rsidTr="001C42F5">
        <w:trPr>
          <w:trHeight w:val="309"/>
          <w:jc w:val="center"/>
        </w:trPr>
        <w:tc>
          <w:tcPr>
            <w:tcW w:w="2954" w:type="dxa"/>
            <w:tcBorders>
              <w:bottom w:val="single" w:sz="4" w:space="0" w:color="BFBFBF" w:themeColor="background1" w:themeShade="BF"/>
              <w:right w:val="single" w:sz="4" w:space="0" w:color="BFBFBF" w:themeColor="background1" w:themeShade="BF"/>
            </w:tcBorders>
            <w:shd w:val="clear" w:color="auto" w:fill="FBD4B4" w:themeFill="accent6" w:themeFillTint="66"/>
            <w:noWrap/>
            <w:vAlign w:val="bottom"/>
          </w:tcPr>
          <w:p w14:paraId="012BBEB2" w14:textId="77777777" w:rsidR="00584187" w:rsidRPr="00847E60" w:rsidRDefault="00584187" w:rsidP="00584187">
            <w:pPr>
              <w:keepNext/>
              <w:tabs>
                <w:tab w:val="left" w:pos="188"/>
              </w:tabs>
              <w:ind w:left="8" w:hanging="8"/>
              <w:jc w:val="right"/>
              <w:rPr>
                <w:rFonts w:ascii="Calibri" w:eastAsia="Times New Roman" w:hAnsi="Calibri" w:cs="Arial"/>
                <w:sz w:val="20"/>
                <w:szCs w:val="20"/>
              </w:rPr>
            </w:pPr>
            <w:r w:rsidRPr="00847E60">
              <w:rPr>
                <w:rFonts w:ascii="Calibri" w:eastAsia="Times New Roman" w:hAnsi="Calibri" w:cs="Arial"/>
                <w:sz w:val="20"/>
                <w:szCs w:val="20"/>
              </w:rPr>
              <w:t xml:space="preserve"> % of Total Revenue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063F61DF" w14:textId="316C98E9"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34.3%</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489A6C1F" w14:textId="71893B32"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34.7%</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6732CADE" w14:textId="7452FA8E"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35.4%</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229D8CED" w14:textId="273AF63D"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30.8%</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1134379E" w14:textId="17435D34" w:rsidR="00584187" w:rsidRPr="00847E60" w:rsidRDefault="00B148DD" w:rsidP="00584187">
            <w:pPr>
              <w:keepNext/>
              <w:jc w:val="center"/>
              <w:rPr>
                <w:rFonts w:ascii="Calibri" w:eastAsia="Times New Roman" w:hAnsi="Calibri" w:cs="Arial"/>
                <w:sz w:val="20"/>
                <w:szCs w:val="20"/>
              </w:rPr>
            </w:pPr>
            <w:r w:rsidRPr="00B148DD">
              <w:rPr>
                <w:rFonts w:ascii="Calibri" w:eastAsia="Times New Roman" w:hAnsi="Calibri" w:cs="Arial"/>
                <w:sz w:val="20"/>
                <w:szCs w:val="20"/>
              </w:rPr>
              <w:t>33.6%</w:t>
            </w:r>
          </w:p>
        </w:tc>
      </w:tr>
      <w:tr w:rsidR="00584187" w:rsidRPr="00847E60" w14:paraId="1896B800" w14:textId="77777777" w:rsidTr="001C42F5">
        <w:trPr>
          <w:trHeight w:val="309"/>
          <w:jc w:val="center"/>
        </w:trPr>
        <w:tc>
          <w:tcPr>
            <w:tcW w:w="2954" w:type="dxa"/>
            <w:tcBorders>
              <w:top w:val="single" w:sz="4" w:space="0" w:color="BFBFBF" w:themeColor="background1" w:themeShade="BF"/>
              <w:right w:val="single" w:sz="4" w:space="0" w:color="BFBFBF" w:themeColor="background1" w:themeShade="BF"/>
            </w:tcBorders>
            <w:shd w:val="clear" w:color="auto" w:fill="D6E3BC" w:themeFill="accent3" w:themeFillTint="66"/>
            <w:noWrap/>
            <w:vAlign w:val="bottom"/>
          </w:tcPr>
          <w:p w14:paraId="762567B3" w14:textId="77777777" w:rsidR="00584187" w:rsidRPr="00847E60" w:rsidRDefault="00584187" w:rsidP="00584187">
            <w:pPr>
              <w:keepNext/>
              <w:rPr>
                <w:rFonts w:ascii="Calibri" w:eastAsia="Times New Roman" w:hAnsi="Calibri" w:cs="Arial"/>
                <w:sz w:val="20"/>
                <w:szCs w:val="20"/>
              </w:rPr>
            </w:pPr>
            <w:r w:rsidRPr="00847E60">
              <w:rPr>
                <w:rFonts w:ascii="Calibri" w:eastAsia="Times New Roman" w:hAnsi="Calibri" w:cs="Arial"/>
                <w:sz w:val="20"/>
                <w:szCs w:val="20"/>
              </w:rPr>
              <w:t>Golden  West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14082701" w14:textId="106B8E6E"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43,776,470</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17CD1746" w14:textId="0AC5EB29"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43,278,154</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32029DF7" w14:textId="27499947"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46,647,561</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2972D5CA" w14:textId="43AF1165"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50,104,616</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35805DAE" w14:textId="17C26E8F" w:rsidR="00584187" w:rsidRPr="00847E60" w:rsidRDefault="00B148DD" w:rsidP="00584187">
            <w:pPr>
              <w:keepNext/>
              <w:jc w:val="center"/>
              <w:rPr>
                <w:rFonts w:ascii="Calibri" w:eastAsia="Times New Roman" w:hAnsi="Calibri" w:cs="Arial"/>
                <w:sz w:val="20"/>
                <w:szCs w:val="20"/>
              </w:rPr>
            </w:pPr>
            <w:r w:rsidRPr="00B148DD">
              <w:rPr>
                <w:rFonts w:ascii="Calibri" w:eastAsia="Times New Roman" w:hAnsi="Calibri" w:cs="Arial"/>
                <w:sz w:val="20"/>
                <w:szCs w:val="20"/>
              </w:rPr>
              <w:t>$52,957,388</w:t>
            </w:r>
          </w:p>
        </w:tc>
      </w:tr>
      <w:tr w:rsidR="00584187" w:rsidRPr="00847E60" w14:paraId="1B92C67A" w14:textId="77777777" w:rsidTr="001C42F5">
        <w:trPr>
          <w:trHeight w:val="309"/>
          <w:jc w:val="center"/>
        </w:trPr>
        <w:tc>
          <w:tcPr>
            <w:tcW w:w="2954" w:type="dxa"/>
            <w:tcBorders>
              <w:bottom w:val="single" w:sz="4" w:space="0" w:color="BFBFBF" w:themeColor="background1" w:themeShade="BF"/>
              <w:right w:val="single" w:sz="4" w:space="0" w:color="BFBFBF" w:themeColor="background1" w:themeShade="BF"/>
            </w:tcBorders>
            <w:shd w:val="clear" w:color="auto" w:fill="D6E3BC" w:themeFill="accent3" w:themeFillTint="66"/>
            <w:noWrap/>
          </w:tcPr>
          <w:p w14:paraId="691D9F08" w14:textId="77777777" w:rsidR="00584187" w:rsidRPr="00847E60" w:rsidRDefault="00584187" w:rsidP="00584187">
            <w:pPr>
              <w:keepNext/>
              <w:tabs>
                <w:tab w:val="left" w:pos="188"/>
              </w:tabs>
              <w:ind w:left="8" w:hanging="8"/>
              <w:jc w:val="right"/>
              <w:rPr>
                <w:rFonts w:ascii="Calibri" w:eastAsia="Times New Roman" w:hAnsi="Calibri" w:cs="Arial"/>
                <w:sz w:val="20"/>
                <w:szCs w:val="20"/>
              </w:rPr>
            </w:pPr>
            <w:r w:rsidRPr="00847E60">
              <w:rPr>
                <w:rFonts w:ascii="Calibri" w:eastAsia="Times New Roman" w:hAnsi="Calibri" w:cs="Arial"/>
                <w:sz w:val="20"/>
                <w:szCs w:val="20"/>
              </w:rPr>
              <w:t>% of Total Revenue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306AD73D" w14:textId="30AC2173"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21.3%</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0DD01721" w14:textId="520A1EBD"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21.8%</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031409E9" w14:textId="5CF90489"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21.8%</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32CCD69C" w14:textId="4252C31B"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19.5%</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7751E388" w14:textId="0662F357" w:rsidR="00584187" w:rsidRPr="00847E60" w:rsidRDefault="00B148DD" w:rsidP="00584187">
            <w:pPr>
              <w:keepNext/>
              <w:jc w:val="center"/>
              <w:rPr>
                <w:rFonts w:ascii="Calibri" w:eastAsia="Times New Roman" w:hAnsi="Calibri" w:cs="Arial"/>
                <w:sz w:val="20"/>
                <w:szCs w:val="20"/>
              </w:rPr>
            </w:pPr>
            <w:r w:rsidRPr="00B148DD">
              <w:rPr>
                <w:rFonts w:ascii="Calibri" w:eastAsia="Times New Roman" w:hAnsi="Calibri" w:cs="Arial"/>
                <w:sz w:val="20"/>
                <w:szCs w:val="20"/>
              </w:rPr>
              <w:t>21.0%</w:t>
            </w:r>
          </w:p>
        </w:tc>
      </w:tr>
      <w:tr w:rsidR="00584187" w:rsidRPr="00847E60" w14:paraId="3E1A3ED6" w14:textId="77777777" w:rsidTr="001C42F5">
        <w:trPr>
          <w:trHeight w:val="309"/>
          <w:jc w:val="center"/>
        </w:trPr>
        <w:tc>
          <w:tcPr>
            <w:tcW w:w="2954" w:type="dxa"/>
            <w:tcBorders>
              <w:top w:val="single" w:sz="4" w:space="0" w:color="BFBFBF" w:themeColor="background1" w:themeShade="BF"/>
              <w:right w:val="single" w:sz="4" w:space="0" w:color="BFBFBF" w:themeColor="background1" w:themeShade="BF"/>
            </w:tcBorders>
            <w:shd w:val="clear" w:color="auto" w:fill="DBE5F1" w:themeFill="accent1" w:themeFillTint="33"/>
            <w:noWrap/>
            <w:vAlign w:val="bottom"/>
          </w:tcPr>
          <w:p w14:paraId="68D509B7" w14:textId="77777777" w:rsidR="00584187" w:rsidRPr="00847E60" w:rsidRDefault="00584187" w:rsidP="00584187">
            <w:pPr>
              <w:keepNext/>
              <w:rPr>
                <w:rFonts w:ascii="Calibri" w:eastAsia="Times New Roman" w:hAnsi="Calibri" w:cs="Arial"/>
                <w:sz w:val="20"/>
                <w:szCs w:val="20"/>
              </w:rPr>
            </w:pPr>
            <w:r w:rsidRPr="00847E60">
              <w:rPr>
                <w:rFonts w:ascii="Calibri" w:eastAsia="Times New Roman" w:hAnsi="Calibri" w:cs="Arial"/>
                <w:sz w:val="20"/>
                <w:szCs w:val="20"/>
              </w:rPr>
              <w:t>Coastline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4FE291B0" w14:textId="1BC32348"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27,149,581</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41FBEF78" w14:textId="6B8DA266"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22,825,830</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791EA2F6" w14:textId="03EB1BCD"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25,401,466</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275EA570" w14:textId="38EFDBF9"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28,456,994</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74FD8D14" w14:textId="4678A806" w:rsidR="00584187" w:rsidRPr="00847E60" w:rsidRDefault="00B148DD" w:rsidP="00584187">
            <w:pPr>
              <w:keepNext/>
              <w:jc w:val="center"/>
              <w:rPr>
                <w:rFonts w:ascii="Calibri" w:eastAsia="Times New Roman" w:hAnsi="Calibri" w:cs="Arial"/>
                <w:sz w:val="20"/>
                <w:szCs w:val="20"/>
              </w:rPr>
            </w:pPr>
            <w:r w:rsidRPr="00B148DD">
              <w:rPr>
                <w:rFonts w:ascii="Calibri" w:eastAsia="Times New Roman" w:hAnsi="Calibri" w:cs="Arial"/>
                <w:sz w:val="20"/>
                <w:szCs w:val="20"/>
              </w:rPr>
              <w:t>$30,264,061</w:t>
            </w:r>
          </w:p>
        </w:tc>
      </w:tr>
      <w:tr w:rsidR="00584187" w:rsidRPr="00847E60" w14:paraId="69B841B6" w14:textId="77777777" w:rsidTr="001C42F5">
        <w:trPr>
          <w:trHeight w:val="309"/>
          <w:jc w:val="center"/>
        </w:trPr>
        <w:tc>
          <w:tcPr>
            <w:tcW w:w="2954" w:type="dxa"/>
            <w:tcBorders>
              <w:bottom w:val="single" w:sz="4" w:space="0" w:color="BFBFBF" w:themeColor="background1" w:themeShade="BF"/>
              <w:right w:val="single" w:sz="4" w:space="0" w:color="BFBFBF" w:themeColor="background1" w:themeShade="BF"/>
            </w:tcBorders>
            <w:shd w:val="clear" w:color="auto" w:fill="DBE5F1" w:themeFill="accent1" w:themeFillTint="33"/>
            <w:noWrap/>
            <w:vAlign w:val="bottom"/>
          </w:tcPr>
          <w:p w14:paraId="0FE97A47" w14:textId="77777777" w:rsidR="00584187" w:rsidRPr="00847E60" w:rsidRDefault="00584187" w:rsidP="00584187">
            <w:pPr>
              <w:keepNext/>
              <w:tabs>
                <w:tab w:val="left" w:pos="188"/>
              </w:tabs>
              <w:ind w:left="8" w:hanging="8"/>
              <w:jc w:val="right"/>
              <w:rPr>
                <w:rFonts w:ascii="Calibri" w:eastAsia="Times New Roman" w:hAnsi="Calibri" w:cs="Arial"/>
                <w:sz w:val="20"/>
                <w:szCs w:val="20"/>
              </w:rPr>
            </w:pPr>
            <w:r w:rsidRPr="00847E60">
              <w:rPr>
                <w:rFonts w:ascii="Calibri" w:eastAsia="Times New Roman" w:hAnsi="Calibri" w:cs="Arial"/>
                <w:sz w:val="20"/>
                <w:szCs w:val="20"/>
              </w:rPr>
              <w:t>% of Total Revenue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0B04A3CD" w14:textId="1CE5A667"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13.2%</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4C0CB72E" w14:textId="3BB7A02B"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11.5%</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1EDC3309" w14:textId="21DD278F"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11.8%</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009E9326" w14:textId="00921856"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11.1%</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5E7FD917" w14:textId="7910A8F5" w:rsidR="00584187" w:rsidRPr="00847E60" w:rsidRDefault="00B148DD" w:rsidP="00584187">
            <w:pPr>
              <w:keepNext/>
              <w:jc w:val="center"/>
              <w:rPr>
                <w:rFonts w:ascii="Calibri" w:eastAsia="Times New Roman" w:hAnsi="Calibri" w:cs="Arial"/>
                <w:sz w:val="20"/>
                <w:szCs w:val="20"/>
              </w:rPr>
            </w:pPr>
            <w:r w:rsidRPr="00B148DD">
              <w:rPr>
                <w:rFonts w:ascii="Calibri" w:eastAsia="Times New Roman" w:hAnsi="Calibri" w:cs="Arial"/>
                <w:sz w:val="20"/>
                <w:szCs w:val="20"/>
              </w:rPr>
              <w:t>12.0%</w:t>
            </w:r>
          </w:p>
        </w:tc>
      </w:tr>
      <w:tr w:rsidR="00584187" w:rsidRPr="00847E60" w14:paraId="34D60EDC" w14:textId="77777777" w:rsidTr="001C42F5">
        <w:trPr>
          <w:trHeight w:val="309"/>
          <w:jc w:val="center"/>
        </w:trPr>
        <w:tc>
          <w:tcPr>
            <w:tcW w:w="295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tcPr>
          <w:p w14:paraId="5CBDE02C" w14:textId="77777777" w:rsidR="00584187" w:rsidRPr="00847E60" w:rsidRDefault="00584187" w:rsidP="00584187">
            <w:pPr>
              <w:keepNext/>
              <w:rPr>
                <w:rFonts w:ascii="Calibri" w:eastAsia="Times New Roman" w:hAnsi="Calibri" w:cs="Arial"/>
                <w:sz w:val="20"/>
                <w:szCs w:val="20"/>
              </w:rPr>
            </w:pPr>
            <w:r w:rsidRPr="00847E60">
              <w:rPr>
                <w:rFonts w:ascii="Calibri" w:eastAsia="Times New Roman" w:hAnsi="Calibri" w:cs="Arial"/>
                <w:sz w:val="20"/>
                <w:szCs w:val="20"/>
              </w:rPr>
              <w:t>Admin  9</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7B4DD7E4" w14:textId="7801E50C"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13,869,065</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746032D9" w14:textId="19393304"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14,876,092</w:t>
            </w:r>
          </w:p>
        </w:tc>
        <w:tc>
          <w:tcPr>
            <w:tcW w:w="1440" w:type="dxa"/>
            <w:tcBorders>
              <w:top w:val="single" w:sz="4" w:space="0" w:color="BFBFBF" w:themeColor="background1" w:themeShade="BF"/>
              <w:bottom w:val="single" w:sz="4" w:space="0" w:color="BFBFBF" w:themeColor="background1" w:themeShade="BF"/>
            </w:tcBorders>
            <w:shd w:val="clear" w:color="auto" w:fill="auto"/>
          </w:tcPr>
          <w:p w14:paraId="298B93C3" w14:textId="7E10E0CD"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15,358,843</w:t>
            </w:r>
          </w:p>
        </w:tc>
        <w:tc>
          <w:tcPr>
            <w:tcW w:w="1440" w:type="dxa"/>
            <w:tcBorders>
              <w:top w:val="single" w:sz="4" w:space="0" w:color="BFBFBF" w:themeColor="background1" w:themeShade="BF"/>
              <w:bottom w:val="single" w:sz="4" w:space="0" w:color="BFBFBF" w:themeColor="background1" w:themeShade="BF"/>
            </w:tcBorders>
            <w:shd w:val="clear" w:color="auto" w:fill="auto"/>
            <w:noWrap/>
          </w:tcPr>
          <w:p w14:paraId="6AB06D17" w14:textId="0848F2FA" w:rsidR="00584187" w:rsidRPr="00847E60" w:rsidRDefault="00584187" w:rsidP="00584187">
            <w:pPr>
              <w:keepNext/>
              <w:jc w:val="center"/>
              <w:rPr>
                <w:rFonts w:ascii="Calibri" w:eastAsia="Times New Roman" w:hAnsi="Calibri" w:cs="Arial"/>
                <w:sz w:val="20"/>
                <w:szCs w:val="20"/>
              </w:rPr>
            </w:pPr>
            <w:r w:rsidRPr="00847E60">
              <w:rPr>
                <w:rFonts w:ascii="Calibri" w:hAnsi="Calibri"/>
                <w:sz w:val="20"/>
                <w:szCs w:val="20"/>
              </w:rPr>
              <w:t>18,489,152</w:t>
            </w:r>
          </w:p>
        </w:tc>
        <w:tc>
          <w:tcPr>
            <w:tcW w:w="1440" w:type="dxa"/>
            <w:tcBorders>
              <w:top w:val="single" w:sz="4" w:space="0" w:color="BFBFBF" w:themeColor="background1" w:themeShade="BF"/>
              <w:bottom w:val="single" w:sz="4" w:space="0" w:color="BFBFBF" w:themeColor="background1" w:themeShade="BF"/>
            </w:tcBorders>
            <w:shd w:val="clear" w:color="auto" w:fill="auto"/>
          </w:tcPr>
          <w:p w14:paraId="0D55EF9D" w14:textId="730A1535" w:rsidR="00584187" w:rsidRPr="00847E60" w:rsidRDefault="00B148DD" w:rsidP="00584187">
            <w:pPr>
              <w:keepNext/>
              <w:jc w:val="center"/>
              <w:rPr>
                <w:rFonts w:ascii="Calibri" w:eastAsia="Times New Roman" w:hAnsi="Calibri" w:cs="Arial"/>
                <w:sz w:val="20"/>
                <w:szCs w:val="20"/>
              </w:rPr>
            </w:pPr>
            <w:r w:rsidRPr="00B148DD">
              <w:rPr>
                <w:rFonts w:ascii="Calibri" w:eastAsia="Times New Roman" w:hAnsi="Calibri" w:cs="Arial"/>
                <w:sz w:val="20"/>
                <w:szCs w:val="20"/>
              </w:rPr>
              <w:t>$20,142,217</w:t>
            </w:r>
          </w:p>
        </w:tc>
      </w:tr>
      <w:tr w:rsidR="00584187" w:rsidRPr="00847E60" w14:paraId="4144DEC5" w14:textId="77777777" w:rsidTr="001C42F5">
        <w:trPr>
          <w:trHeight w:val="309"/>
          <w:jc w:val="center"/>
        </w:trPr>
        <w:tc>
          <w:tcPr>
            <w:tcW w:w="295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304E9F0" w14:textId="77777777" w:rsidR="00584187" w:rsidRPr="00847E60" w:rsidRDefault="00584187" w:rsidP="00584187">
            <w:pPr>
              <w:tabs>
                <w:tab w:val="left" w:pos="188"/>
              </w:tabs>
              <w:ind w:left="8" w:hanging="8"/>
              <w:jc w:val="right"/>
              <w:rPr>
                <w:rFonts w:ascii="Calibri" w:eastAsia="Times New Roman" w:hAnsi="Calibri" w:cs="Arial"/>
                <w:sz w:val="20"/>
                <w:szCs w:val="20"/>
              </w:rPr>
            </w:pPr>
            <w:r w:rsidRPr="00847E60">
              <w:rPr>
                <w:rFonts w:ascii="Calibri" w:eastAsia="Times New Roman" w:hAnsi="Calibri" w:cs="Arial"/>
                <w:sz w:val="20"/>
                <w:szCs w:val="20"/>
              </w:rPr>
              <w:t>% of Total Revenue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3E8F51C3" w14:textId="596C0E8C" w:rsidR="00584187" w:rsidRPr="00847E60" w:rsidRDefault="00584187" w:rsidP="00584187">
            <w:pPr>
              <w:jc w:val="center"/>
              <w:rPr>
                <w:rFonts w:ascii="Calibri" w:eastAsia="Times New Roman" w:hAnsi="Calibri" w:cs="Arial"/>
                <w:sz w:val="20"/>
                <w:szCs w:val="20"/>
              </w:rPr>
            </w:pPr>
            <w:r w:rsidRPr="00847E60">
              <w:rPr>
                <w:rFonts w:ascii="Calibri" w:hAnsi="Calibri"/>
                <w:sz w:val="20"/>
                <w:szCs w:val="20"/>
              </w:rPr>
              <w:t>6.7%</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1B407AD0" w14:textId="6A83E1C8" w:rsidR="00584187" w:rsidRPr="00847E60" w:rsidRDefault="00584187" w:rsidP="00584187">
            <w:pPr>
              <w:jc w:val="center"/>
              <w:rPr>
                <w:rFonts w:ascii="Calibri" w:eastAsia="Times New Roman" w:hAnsi="Calibri" w:cs="Arial"/>
                <w:sz w:val="20"/>
                <w:szCs w:val="20"/>
              </w:rPr>
            </w:pPr>
            <w:r w:rsidRPr="00847E60">
              <w:rPr>
                <w:rFonts w:ascii="Calibri" w:hAnsi="Calibri"/>
                <w:sz w:val="20"/>
                <w:szCs w:val="20"/>
              </w:rPr>
              <w:t>7.5%</w:t>
            </w:r>
          </w:p>
        </w:tc>
        <w:tc>
          <w:tcPr>
            <w:tcW w:w="1440" w:type="dxa"/>
            <w:tcBorders>
              <w:top w:val="single" w:sz="4" w:space="0" w:color="BFBFBF" w:themeColor="background1" w:themeShade="BF"/>
              <w:bottom w:val="single" w:sz="4" w:space="0" w:color="BFBFBF" w:themeColor="background1" w:themeShade="BF"/>
            </w:tcBorders>
            <w:shd w:val="clear" w:color="auto" w:fill="auto"/>
          </w:tcPr>
          <w:p w14:paraId="13B4304B" w14:textId="37B890CD" w:rsidR="00584187" w:rsidRPr="00847E60" w:rsidRDefault="00584187" w:rsidP="00584187">
            <w:pPr>
              <w:jc w:val="center"/>
              <w:rPr>
                <w:rFonts w:ascii="Calibri" w:eastAsia="Times New Roman" w:hAnsi="Calibri" w:cs="Arial"/>
                <w:sz w:val="20"/>
                <w:szCs w:val="20"/>
              </w:rPr>
            </w:pPr>
            <w:r w:rsidRPr="00847E60">
              <w:rPr>
                <w:rFonts w:ascii="Calibri" w:hAnsi="Calibri"/>
                <w:sz w:val="20"/>
                <w:szCs w:val="20"/>
              </w:rPr>
              <w:t>7.2%</w:t>
            </w:r>
          </w:p>
        </w:tc>
        <w:tc>
          <w:tcPr>
            <w:tcW w:w="1440" w:type="dxa"/>
            <w:tcBorders>
              <w:top w:val="single" w:sz="4" w:space="0" w:color="BFBFBF" w:themeColor="background1" w:themeShade="BF"/>
              <w:bottom w:val="single" w:sz="4" w:space="0" w:color="BFBFBF" w:themeColor="background1" w:themeShade="BF"/>
            </w:tcBorders>
            <w:shd w:val="clear" w:color="auto" w:fill="auto"/>
            <w:noWrap/>
          </w:tcPr>
          <w:p w14:paraId="02AD5F9A" w14:textId="64A69F2A" w:rsidR="00584187" w:rsidRPr="00847E60" w:rsidRDefault="00584187" w:rsidP="00584187">
            <w:pPr>
              <w:jc w:val="center"/>
              <w:rPr>
                <w:rFonts w:ascii="Calibri" w:eastAsia="Times New Roman" w:hAnsi="Calibri" w:cs="Arial"/>
                <w:sz w:val="20"/>
                <w:szCs w:val="20"/>
              </w:rPr>
            </w:pPr>
            <w:r w:rsidRPr="00847E60">
              <w:rPr>
                <w:rFonts w:ascii="Calibri" w:hAnsi="Calibri"/>
                <w:sz w:val="20"/>
                <w:szCs w:val="20"/>
              </w:rPr>
              <w:t>7.2%</w:t>
            </w:r>
          </w:p>
        </w:tc>
        <w:tc>
          <w:tcPr>
            <w:tcW w:w="1440" w:type="dxa"/>
            <w:tcBorders>
              <w:top w:val="single" w:sz="4" w:space="0" w:color="BFBFBF" w:themeColor="background1" w:themeShade="BF"/>
              <w:bottom w:val="single" w:sz="4" w:space="0" w:color="BFBFBF" w:themeColor="background1" w:themeShade="BF"/>
            </w:tcBorders>
            <w:shd w:val="clear" w:color="auto" w:fill="auto"/>
          </w:tcPr>
          <w:p w14:paraId="50394CD1" w14:textId="629447EA" w:rsidR="00584187" w:rsidRPr="00847E60" w:rsidRDefault="00B148DD" w:rsidP="00584187">
            <w:pPr>
              <w:jc w:val="center"/>
              <w:rPr>
                <w:rFonts w:ascii="Calibri" w:eastAsia="Times New Roman" w:hAnsi="Calibri" w:cs="Arial"/>
                <w:sz w:val="20"/>
                <w:szCs w:val="20"/>
              </w:rPr>
            </w:pPr>
            <w:r w:rsidRPr="00B148DD">
              <w:rPr>
                <w:rFonts w:ascii="Calibri" w:eastAsia="Times New Roman" w:hAnsi="Calibri" w:cs="Arial"/>
                <w:sz w:val="20"/>
                <w:szCs w:val="20"/>
              </w:rPr>
              <w:t>8.0%</w:t>
            </w:r>
          </w:p>
        </w:tc>
      </w:tr>
      <w:tr w:rsidR="00584187" w:rsidRPr="00847E60" w14:paraId="58817BB3" w14:textId="77777777" w:rsidTr="002927CF">
        <w:trPr>
          <w:trHeight w:val="309"/>
          <w:jc w:val="center"/>
        </w:trPr>
        <w:tc>
          <w:tcPr>
            <w:tcW w:w="295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tcPr>
          <w:p w14:paraId="0A230B2E" w14:textId="77777777" w:rsidR="00584187" w:rsidRPr="00847E60" w:rsidRDefault="00584187" w:rsidP="00584187">
            <w:pPr>
              <w:tabs>
                <w:tab w:val="left" w:pos="188"/>
              </w:tabs>
              <w:ind w:left="8" w:hanging="8"/>
              <w:rPr>
                <w:rFonts w:ascii="Calibri" w:eastAsia="Times New Roman" w:hAnsi="Calibri" w:cs="Arial"/>
                <w:sz w:val="20"/>
                <w:szCs w:val="20"/>
              </w:rPr>
            </w:pPr>
            <w:r w:rsidRPr="00847E60">
              <w:rPr>
                <w:rFonts w:ascii="Calibri" w:eastAsia="Times New Roman" w:hAnsi="Calibri" w:cs="Arial"/>
                <w:sz w:val="20"/>
                <w:szCs w:val="20"/>
              </w:rPr>
              <w:t>District  Office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D708E7E" w14:textId="73F2562A" w:rsidR="00584187" w:rsidRPr="00847E60" w:rsidRDefault="00584187" w:rsidP="00584187">
            <w:pPr>
              <w:jc w:val="center"/>
              <w:rPr>
                <w:rFonts w:ascii="Calibri" w:hAnsi="Calibri"/>
                <w:sz w:val="20"/>
                <w:szCs w:val="20"/>
              </w:rPr>
            </w:pPr>
            <w:r w:rsidRPr="00847E60">
              <w:rPr>
                <w:rFonts w:ascii="Calibri" w:hAnsi="Calibri"/>
                <w:sz w:val="20"/>
                <w:szCs w:val="20"/>
              </w:rPr>
              <w:t>10,664,411</w:t>
            </w:r>
          </w:p>
        </w:tc>
        <w:tc>
          <w:tcPr>
            <w:tcW w:w="1350" w:type="dxa"/>
            <w:tcBorders>
              <w:top w:val="single" w:sz="4" w:space="0" w:color="BFBFBF" w:themeColor="background1" w:themeShade="BF"/>
              <w:bottom w:val="single" w:sz="4" w:space="0" w:color="BFBFBF" w:themeColor="background1" w:themeShade="BF"/>
            </w:tcBorders>
            <w:shd w:val="clear" w:color="auto" w:fill="auto"/>
            <w:noWrap/>
            <w:vAlign w:val="bottom"/>
          </w:tcPr>
          <w:p w14:paraId="62176D1C" w14:textId="6A1A9037" w:rsidR="00584187" w:rsidRPr="00847E60" w:rsidRDefault="00584187" w:rsidP="00584187">
            <w:pPr>
              <w:jc w:val="center"/>
              <w:rPr>
                <w:rFonts w:ascii="Calibri" w:hAnsi="Calibri"/>
                <w:sz w:val="20"/>
                <w:szCs w:val="20"/>
              </w:rPr>
            </w:pPr>
            <w:r w:rsidRPr="00847E60">
              <w:rPr>
                <w:rFonts w:ascii="Calibri" w:hAnsi="Calibri"/>
                <w:sz w:val="20"/>
                <w:szCs w:val="20"/>
              </w:rPr>
              <w:t>16,590,236</w:t>
            </w:r>
          </w:p>
        </w:tc>
        <w:tc>
          <w:tcPr>
            <w:tcW w:w="1440" w:type="dxa"/>
            <w:tcBorders>
              <w:top w:val="single" w:sz="4" w:space="0" w:color="BFBFBF" w:themeColor="background1" w:themeShade="BF"/>
              <w:bottom w:val="single" w:sz="4" w:space="0" w:color="BFBFBF" w:themeColor="background1" w:themeShade="BF"/>
            </w:tcBorders>
            <w:shd w:val="clear" w:color="auto" w:fill="auto"/>
            <w:vAlign w:val="bottom"/>
          </w:tcPr>
          <w:p w14:paraId="37C1B665" w14:textId="740AD42A" w:rsidR="00584187" w:rsidRPr="00847E60" w:rsidRDefault="00584187" w:rsidP="00584187">
            <w:pPr>
              <w:jc w:val="center"/>
              <w:rPr>
                <w:rFonts w:ascii="Calibri" w:hAnsi="Calibri"/>
                <w:sz w:val="20"/>
                <w:szCs w:val="20"/>
              </w:rPr>
            </w:pPr>
            <w:r w:rsidRPr="00847E60">
              <w:rPr>
                <w:rFonts w:ascii="Calibri" w:hAnsi="Calibri"/>
                <w:sz w:val="20"/>
                <w:szCs w:val="20"/>
              </w:rPr>
              <w:t>17,747,720</w:t>
            </w:r>
          </w:p>
        </w:tc>
        <w:tc>
          <w:tcPr>
            <w:tcW w:w="1440" w:type="dxa"/>
            <w:tcBorders>
              <w:top w:val="single" w:sz="4" w:space="0" w:color="BFBFBF" w:themeColor="background1" w:themeShade="BF"/>
              <w:bottom w:val="single" w:sz="4" w:space="0" w:color="BFBFBF" w:themeColor="background1" w:themeShade="BF"/>
            </w:tcBorders>
            <w:shd w:val="clear" w:color="auto" w:fill="auto"/>
            <w:noWrap/>
          </w:tcPr>
          <w:p w14:paraId="1D7F17C3" w14:textId="16414871" w:rsidR="00584187" w:rsidRPr="00847E60" w:rsidRDefault="00584187" w:rsidP="00584187">
            <w:pPr>
              <w:jc w:val="center"/>
              <w:rPr>
                <w:rFonts w:ascii="Calibri" w:hAnsi="Calibri"/>
                <w:sz w:val="20"/>
                <w:szCs w:val="20"/>
              </w:rPr>
            </w:pPr>
            <w:r w:rsidRPr="00847E60">
              <w:rPr>
                <w:rFonts w:ascii="Calibri" w:hAnsi="Calibri"/>
                <w:sz w:val="20"/>
                <w:szCs w:val="20"/>
              </w:rPr>
              <w:t>18,689,217</w:t>
            </w:r>
          </w:p>
        </w:tc>
        <w:tc>
          <w:tcPr>
            <w:tcW w:w="1440" w:type="dxa"/>
            <w:tcBorders>
              <w:top w:val="single" w:sz="4" w:space="0" w:color="BFBFBF" w:themeColor="background1" w:themeShade="BF"/>
              <w:bottom w:val="single" w:sz="4" w:space="0" w:color="BFBFBF" w:themeColor="background1" w:themeShade="BF"/>
            </w:tcBorders>
            <w:shd w:val="clear" w:color="auto" w:fill="auto"/>
          </w:tcPr>
          <w:p w14:paraId="2FBF49DD" w14:textId="7C5704EA" w:rsidR="00584187" w:rsidRPr="00847E60" w:rsidRDefault="00B148DD" w:rsidP="00584187">
            <w:pPr>
              <w:jc w:val="center"/>
              <w:rPr>
                <w:rFonts w:ascii="Calibri" w:hAnsi="Calibri"/>
                <w:sz w:val="20"/>
                <w:szCs w:val="20"/>
              </w:rPr>
            </w:pPr>
            <w:r w:rsidRPr="00B148DD">
              <w:rPr>
                <w:rFonts w:ascii="Calibri" w:hAnsi="Calibri"/>
                <w:sz w:val="20"/>
                <w:szCs w:val="20"/>
              </w:rPr>
              <w:t>$19,374,747</w:t>
            </w:r>
          </w:p>
        </w:tc>
      </w:tr>
      <w:tr w:rsidR="00584187" w:rsidRPr="00847E60" w14:paraId="3D442A3B" w14:textId="77777777" w:rsidTr="002927CF">
        <w:trPr>
          <w:trHeight w:val="309"/>
          <w:jc w:val="center"/>
        </w:trPr>
        <w:tc>
          <w:tcPr>
            <w:tcW w:w="2954" w:type="dxa"/>
            <w:tcBorders>
              <w:left w:val="single" w:sz="4" w:space="0" w:color="BFBFBF" w:themeColor="background1" w:themeShade="BF"/>
              <w:right w:val="single" w:sz="4" w:space="0" w:color="BFBFBF" w:themeColor="background1" w:themeShade="BF"/>
            </w:tcBorders>
            <w:shd w:val="clear" w:color="auto" w:fill="auto"/>
            <w:noWrap/>
            <w:vAlign w:val="bottom"/>
          </w:tcPr>
          <w:p w14:paraId="7A7368C0" w14:textId="77777777" w:rsidR="00584187" w:rsidRPr="00847E60" w:rsidRDefault="00584187" w:rsidP="00584187">
            <w:pPr>
              <w:tabs>
                <w:tab w:val="left" w:pos="188"/>
              </w:tabs>
              <w:ind w:left="8" w:hanging="8"/>
              <w:jc w:val="right"/>
              <w:rPr>
                <w:rFonts w:ascii="Calibri" w:eastAsia="Times New Roman" w:hAnsi="Calibri" w:cs="Arial"/>
                <w:sz w:val="20"/>
                <w:szCs w:val="20"/>
              </w:rPr>
            </w:pPr>
            <w:r w:rsidRPr="00847E60">
              <w:rPr>
                <w:rFonts w:ascii="Calibri" w:eastAsia="Times New Roman" w:hAnsi="Calibri" w:cs="Arial"/>
                <w:sz w:val="20"/>
                <w:szCs w:val="20"/>
              </w:rPr>
              <w:t>% of Total Revenue</w:t>
            </w:r>
          </w:p>
        </w:tc>
        <w:tc>
          <w:tcPr>
            <w:tcW w:w="1276" w:type="dxa"/>
            <w:tcBorders>
              <w:top w:val="single" w:sz="4" w:space="0" w:color="BFBFBF" w:themeColor="background1" w:themeShade="BF"/>
              <w:left w:val="single" w:sz="4" w:space="0" w:color="BFBFBF" w:themeColor="background1" w:themeShade="BF"/>
              <w:bottom w:val="single" w:sz="4" w:space="0" w:color="auto"/>
            </w:tcBorders>
            <w:shd w:val="clear" w:color="auto" w:fill="auto"/>
            <w:noWrap/>
            <w:vAlign w:val="bottom"/>
          </w:tcPr>
          <w:p w14:paraId="38868F14" w14:textId="3E630E54" w:rsidR="00584187" w:rsidRPr="00847E60" w:rsidRDefault="00584187" w:rsidP="00584187">
            <w:pPr>
              <w:jc w:val="center"/>
              <w:rPr>
                <w:rFonts w:ascii="Calibri" w:hAnsi="Calibri"/>
                <w:sz w:val="20"/>
                <w:szCs w:val="20"/>
              </w:rPr>
            </w:pPr>
            <w:r w:rsidRPr="00847E60">
              <w:rPr>
                <w:rFonts w:ascii="Calibri" w:hAnsi="Calibri"/>
                <w:sz w:val="20"/>
                <w:szCs w:val="20"/>
              </w:rPr>
              <w:t>5.2%</w:t>
            </w:r>
          </w:p>
        </w:tc>
        <w:tc>
          <w:tcPr>
            <w:tcW w:w="1350" w:type="dxa"/>
            <w:tcBorders>
              <w:top w:val="single" w:sz="4" w:space="0" w:color="BFBFBF" w:themeColor="background1" w:themeShade="BF"/>
              <w:bottom w:val="single" w:sz="4" w:space="0" w:color="auto"/>
            </w:tcBorders>
            <w:shd w:val="clear" w:color="auto" w:fill="auto"/>
            <w:noWrap/>
            <w:vAlign w:val="bottom"/>
          </w:tcPr>
          <w:p w14:paraId="1D2BB986" w14:textId="472898D8" w:rsidR="00584187" w:rsidRPr="00847E60" w:rsidRDefault="00584187" w:rsidP="00584187">
            <w:pPr>
              <w:jc w:val="center"/>
              <w:rPr>
                <w:rFonts w:ascii="Calibri" w:hAnsi="Calibri"/>
                <w:sz w:val="20"/>
                <w:szCs w:val="20"/>
              </w:rPr>
            </w:pPr>
            <w:r w:rsidRPr="00847E60">
              <w:rPr>
                <w:rFonts w:ascii="Calibri" w:hAnsi="Calibri"/>
                <w:sz w:val="20"/>
                <w:szCs w:val="20"/>
              </w:rPr>
              <w:t>8.3%</w:t>
            </w:r>
          </w:p>
        </w:tc>
        <w:tc>
          <w:tcPr>
            <w:tcW w:w="1440" w:type="dxa"/>
            <w:tcBorders>
              <w:top w:val="single" w:sz="4" w:space="0" w:color="BFBFBF" w:themeColor="background1" w:themeShade="BF"/>
              <w:bottom w:val="single" w:sz="4" w:space="0" w:color="auto"/>
            </w:tcBorders>
            <w:shd w:val="clear" w:color="auto" w:fill="auto"/>
            <w:vAlign w:val="bottom"/>
          </w:tcPr>
          <w:p w14:paraId="3179198E" w14:textId="71FE4093" w:rsidR="00584187" w:rsidRPr="00847E60" w:rsidRDefault="00584187" w:rsidP="00584187">
            <w:pPr>
              <w:jc w:val="center"/>
              <w:rPr>
                <w:rFonts w:ascii="Calibri" w:hAnsi="Calibri"/>
                <w:sz w:val="20"/>
                <w:szCs w:val="20"/>
              </w:rPr>
            </w:pPr>
            <w:r w:rsidRPr="00847E60">
              <w:rPr>
                <w:rFonts w:ascii="Calibri" w:hAnsi="Calibri"/>
                <w:sz w:val="20"/>
                <w:szCs w:val="20"/>
              </w:rPr>
              <w:t>8.3%</w:t>
            </w:r>
          </w:p>
        </w:tc>
        <w:tc>
          <w:tcPr>
            <w:tcW w:w="1440" w:type="dxa"/>
            <w:tcBorders>
              <w:top w:val="single" w:sz="4" w:space="0" w:color="BFBFBF" w:themeColor="background1" w:themeShade="BF"/>
              <w:bottom w:val="single" w:sz="4" w:space="0" w:color="auto"/>
            </w:tcBorders>
            <w:shd w:val="clear" w:color="auto" w:fill="auto"/>
            <w:noWrap/>
          </w:tcPr>
          <w:p w14:paraId="0DD62831" w14:textId="1B558A45" w:rsidR="00584187" w:rsidRPr="00847E60" w:rsidRDefault="00584187" w:rsidP="00584187">
            <w:pPr>
              <w:jc w:val="center"/>
              <w:rPr>
                <w:rFonts w:ascii="Calibri" w:hAnsi="Calibri"/>
                <w:sz w:val="20"/>
                <w:szCs w:val="20"/>
              </w:rPr>
            </w:pPr>
            <w:r w:rsidRPr="00847E60">
              <w:rPr>
                <w:rFonts w:ascii="Calibri" w:hAnsi="Calibri"/>
                <w:sz w:val="20"/>
                <w:szCs w:val="20"/>
              </w:rPr>
              <w:t>7.3%</w:t>
            </w:r>
          </w:p>
        </w:tc>
        <w:tc>
          <w:tcPr>
            <w:tcW w:w="1440" w:type="dxa"/>
            <w:tcBorders>
              <w:top w:val="single" w:sz="4" w:space="0" w:color="BFBFBF" w:themeColor="background1" w:themeShade="BF"/>
              <w:bottom w:val="single" w:sz="4" w:space="0" w:color="auto"/>
            </w:tcBorders>
            <w:shd w:val="clear" w:color="auto" w:fill="auto"/>
          </w:tcPr>
          <w:p w14:paraId="6BD09DD7" w14:textId="11D8E164" w:rsidR="00584187" w:rsidRPr="00847E60" w:rsidRDefault="00B148DD" w:rsidP="00584187">
            <w:pPr>
              <w:jc w:val="center"/>
              <w:rPr>
                <w:rFonts w:ascii="Calibri" w:hAnsi="Calibri"/>
                <w:sz w:val="20"/>
                <w:szCs w:val="20"/>
              </w:rPr>
            </w:pPr>
            <w:r w:rsidRPr="00B148DD">
              <w:rPr>
                <w:rFonts w:ascii="Calibri" w:hAnsi="Calibri"/>
                <w:sz w:val="20"/>
                <w:szCs w:val="20"/>
              </w:rPr>
              <w:t>7.7%</w:t>
            </w:r>
          </w:p>
        </w:tc>
      </w:tr>
      <w:tr w:rsidR="00584187" w:rsidRPr="00847E60" w14:paraId="7BF79CBD" w14:textId="77777777" w:rsidTr="001C42F5">
        <w:trPr>
          <w:trHeight w:val="332"/>
          <w:jc w:val="center"/>
        </w:trPr>
        <w:tc>
          <w:tcPr>
            <w:tcW w:w="2954" w:type="dxa"/>
            <w:tcBorders>
              <w:right w:val="single" w:sz="4" w:space="0" w:color="BFBFBF" w:themeColor="background1" w:themeShade="BF"/>
            </w:tcBorders>
            <w:shd w:val="clear" w:color="auto" w:fill="D9D9D9" w:themeFill="background1" w:themeFillShade="D9"/>
            <w:noWrap/>
            <w:vAlign w:val="bottom"/>
          </w:tcPr>
          <w:p w14:paraId="7B14ED46" w14:textId="77777777" w:rsidR="00584187" w:rsidRPr="00847E60" w:rsidRDefault="00584187" w:rsidP="00584187">
            <w:pPr>
              <w:tabs>
                <w:tab w:val="left" w:pos="188"/>
              </w:tabs>
              <w:ind w:left="8" w:hanging="8"/>
              <w:rPr>
                <w:rFonts w:ascii="Calibri" w:eastAsia="Times New Roman" w:hAnsi="Calibri" w:cs="Arial"/>
                <w:sz w:val="20"/>
                <w:szCs w:val="20"/>
              </w:rPr>
            </w:pPr>
            <w:r w:rsidRPr="00847E60">
              <w:rPr>
                <w:rFonts w:ascii="Calibri" w:eastAsia="Times New Roman" w:hAnsi="Calibri" w:cs="Arial"/>
                <w:sz w:val="20"/>
                <w:szCs w:val="20"/>
              </w:rPr>
              <w:t>District-wide Totals</w:t>
            </w:r>
          </w:p>
        </w:tc>
        <w:tc>
          <w:tcPr>
            <w:tcW w:w="1276" w:type="dxa"/>
            <w:tcBorders>
              <w:top w:val="single" w:sz="4" w:space="0" w:color="auto"/>
              <w:left w:val="single" w:sz="4" w:space="0" w:color="BFBFBF" w:themeColor="background1" w:themeShade="BF"/>
              <w:bottom w:val="single" w:sz="4" w:space="0" w:color="BFBFBF" w:themeColor="background1" w:themeShade="BF"/>
            </w:tcBorders>
            <w:shd w:val="clear" w:color="auto" w:fill="D9D9D9" w:themeFill="background1" w:themeFillShade="D9"/>
            <w:noWrap/>
          </w:tcPr>
          <w:p w14:paraId="6CDFA072" w14:textId="32E36197" w:rsidR="00584187" w:rsidRPr="00847E60" w:rsidRDefault="00584187" w:rsidP="00B148DD">
            <w:pPr>
              <w:jc w:val="center"/>
              <w:rPr>
                <w:rFonts w:ascii="Calibri" w:hAnsi="Calibri"/>
                <w:sz w:val="20"/>
                <w:szCs w:val="20"/>
              </w:rPr>
            </w:pPr>
            <w:r w:rsidRPr="00847E60">
              <w:rPr>
                <w:rFonts w:ascii="Calibri" w:hAnsi="Calibri"/>
                <w:sz w:val="20"/>
                <w:szCs w:val="20"/>
              </w:rPr>
              <w:t>166,</w:t>
            </w:r>
            <w:r w:rsidR="00B148DD">
              <w:rPr>
                <w:rFonts w:ascii="Calibri" w:hAnsi="Calibri"/>
                <w:sz w:val="20"/>
                <w:szCs w:val="20"/>
              </w:rPr>
              <w:t>216</w:t>
            </w:r>
            <w:r w:rsidRPr="00847E60">
              <w:rPr>
                <w:rFonts w:ascii="Calibri" w:hAnsi="Calibri"/>
                <w:sz w:val="20"/>
                <w:szCs w:val="20"/>
              </w:rPr>
              <w:t>,</w:t>
            </w:r>
            <w:r w:rsidR="00B148DD">
              <w:rPr>
                <w:rFonts w:ascii="Calibri" w:hAnsi="Calibri"/>
                <w:sz w:val="20"/>
                <w:szCs w:val="20"/>
              </w:rPr>
              <w:t>018</w:t>
            </w:r>
          </w:p>
        </w:tc>
        <w:tc>
          <w:tcPr>
            <w:tcW w:w="1350" w:type="dxa"/>
            <w:tcBorders>
              <w:top w:val="single" w:sz="4" w:space="0" w:color="auto"/>
              <w:bottom w:val="single" w:sz="4" w:space="0" w:color="BFBFBF" w:themeColor="background1" w:themeShade="BF"/>
            </w:tcBorders>
            <w:shd w:val="clear" w:color="auto" w:fill="D9D9D9" w:themeFill="background1" w:themeFillShade="D9"/>
            <w:noWrap/>
          </w:tcPr>
          <w:p w14:paraId="5A1B25BB" w14:textId="3AFF6BEB" w:rsidR="00584187" w:rsidRPr="00847E60" w:rsidRDefault="00584187" w:rsidP="00584187">
            <w:pPr>
              <w:jc w:val="center"/>
              <w:rPr>
                <w:rFonts w:ascii="Calibri" w:hAnsi="Calibri"/>
                <w:sz w:val="20"/>
                <w:szCs w:val="20"/>
              </w:rPr>
            </w:pPr>
            <w:r w:rsidRPr="00847E60">
              <w:rPr>
                <w:rFonts w:ascii="Calibri" w:hAnsi="Calibri"/>
                <w:sz w:val="20"/>
                <w:szCs w:val="20"/>
              </w:rPr>
              <w:t>166,596,492</w:t>
            </w:r>
          </w:p>
        </w:tc>
        <w:tc>
          <w:tcPr>
            <w:tcW w:w="1440" w:type="dxa"/>
            <w:tcBorders>
              <w:top w:val="single" w:sz="4" w:space="0" w:color="auto"/>
              <w:bottom w:val="single" w:sz="4" w:space="0" w:color="BFBFBF" w:themeColor="background1" w:themeShade="BF"/>
            </w:tcBorders>
            <w:shd w:val="clear" w:color="auto" w:fill="D9D9D9" w:themeFill="background1" w:themeFillShade="D9"/>
          </w:tcPr>
          <w:p w14:paraId="5E835B90" w14:textId="596424BA" w:rsidR="00584187" w:rsidRPr="00847E60" w:rsidRDefault="00584187" w:rsidP="00584187">
            <w:pPr>
              <w:jc w:val="center"/>
              <w:rPr>
                <w:rFonts w:ascii="Calibri" w:hAnsi="Calibri"/>
                <w:sz w:val="20"/>
                <w:szCs w:val="20"/>
              </w:rPr>
            </w:pPr>
            <w:r w:rsidRPr="00847E60">
              <w:rPr>
                <w:rFonts w:ascii="Calibri" w:hAnsi="Calibri"/>
                <w:sz w:val="20"/>
                <w:szCs w:val="20"/>
              </w:rPr>
              <w:t>180,968,079</w:t>
            </w:r>
          </w:p>
        </w:tc>
        <w:tc>
          <w:tcPr>
            <w:tcW w:w="1440" w:type="dxa"/>
            <w:tcBorders>
              <w:top w:val="single" w:sz="4" w:space="0" w:color="auto"/>
              <w:bottom w:val="single" w:sz="4" w:space="0" w:color="BFBFBF" w:themeColor="background1" w:themeShade="BF"/>
            </w:tcBorders>
            <w:shd w:val="clear" w:color="auto" w:fill="D9D9D9" w:themeFill="background1" w:themeFillShade="D9"/>
            <w:noWrap/>
          </w:tcPr>
          <w:p w14:paraId="705C7AFA" w14:textId="7E0DCCC3" w:rsidR="00584187" w:rsidRPr="00847E60" w:rsidRDefault="00584187" w:rsidP="00584187">
            <w:pPr>
              <w:jc w:val="center"/>
              <w:rPr>
                <w:rFonts w:ascii="Calibri" w:hAnsi="Calibri"/>
                <w:sz w:val="20"/>
                <w:szCs w:val="20"/>
              </w:rPr>
            </w:pPr>
            <w:r w:rsidRPr="00847E60">
              <w:rPr>
                <w:rFonts w:ascii="Calibri" w:hAnsi="Calibri"/>
                <w:sz w:val="20"/>
                <w:szCs w:val="20"/>
              </w:rPr>
              <w:t>194,839,020</w:t>
            </w:r>
          </w:p>
        </w:tc>
        <w:tc>
          <w:tcPr>
            <w:tcW w:w="1440" w:type="dxa"/>
            <w:tcBorders>
              <w:top w:val="single" w:sz="4" w:space="0" w:color="auto"/>
              <w:bottom w:val="single" w:sz="4" w:space="0" w:color="BFBFBF" w:themeColor="background1" w:themeShade="BF"/>
            </w:tcBorders>
            <w:shd w:val="clear" w:color="auto" w:fill="D9D9D9" w:themeFill="background1" w:themeFillShade="D9"/>
          </w:tcPr>
          <w:p w14:paraId="26E6B698" w14:textId="0EF5E4B1" w:rsidR="00584187" w:rsidRPr="00847E60" w:rsidRDefault="00B148DD" w:rsidP="00584187">
            <w:pPr>
              <w:jc w:val="center"/>
              <w:rPr>
                <w:rFonts w:ascii="Calibri" w:hAnsi="Calibri"/>
                <w:sz w:val="20"/>
                <w:szCs w:val="20"/>
              </w:rPr>
            </w:pPr>
            <w:r>
              <w:rPr>
                <w:rFonts w:ascii="Calibri" w:hAnsi="Calibri"/>
                <w:sz w:val="20"/>
                <w:szCs w:val="20"/>
              </w:rPr>
              <w:t>207,297,068</w:t>
            </w:r>
          </w:p>
        </w:tc>
      </w:tr>
      <w:tr w:rsidR="00584187" w:rsidRPr="00847E60" w14:paraId="1DAD1BDB" w14:textId="77777777" w:rsidTr="001C42F5">
        <w:trPr>
          <w:trHeight w:val="170"/>
          <w:jc w:val="center"/>
        </w:trPr>
        <w:tc>
          <w:tcPr>
            <w:tcW w:w="2954" w:type="dxa"/>
            <w:tcBorders>
              <w:right w:val="single" w:sz="4" w:space="0" w:color="BFBFBF" w:themeColor="background1" w:themeShade="BF"/>
            </w:tcBorders>
            <w:shd w:val="clear" w:color="auto" w:fill="D9D9D9" w:themeFill="background1" w:themeFillShade="D9"/>
            <w:noWrap/>
            <w:vAlign w:val="bottom"/>
          </w:tcPr>
          <w:p w14:paraId="6544EF5A" w14:textId="77777777" w:rsidR="00584187" w:rsidRPr="00847E60" w:rsidRDefault="00584187" w:rsidP="00584187">
            <w:pPr>
              <w:tabs>
                <w:tab w:val="left" w:pos="188"/>
              </w:tabs>
              <w:ind w:left="8" w:hanging="8"/>
              <w:jc w:val="right"/>
              <w:rPr>
                <w:rFonts w:ascii="Calibri" w:eastAsia="Times New Roman" w:hAnsi="Calibri" w:cs="Arial"/>
                <w:sz w:val="20"/>
                <w:szCs w:val="20"/>
              </w:rPr>
            </w:pPr>
            <w:r w:rsidRPr="00847E60">
              <w:rPr>
                <w:rFonts w:ascii="Calibri" w:eastAsia="Times New Roman" w:hAnsi="Calibri" w:cs="Arial"/>
                <w:sz w:val="20"/>
                <w:szCs w:val="20"/>
              </w:rPr>
              <w:t>% of Total Revenue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tcPr>
          <w:p w14:paraId="209F30BB" w14:textId="19E4DD67" w:rsidR="00584187" w:rsidRPr="00847E60" w:rsidRDefault="00584187" w:rsidP="00584187">
            <w:pPr>
              <w:jc w:val="center"/>
              <w:rPr>
                <w:rFonts w:ascii="Calibri" w:hAnsi="Calibri"/>
                <w:sz w:val="20"/>
                <w:szCs w:val="20"/>
              </w:rPr>
            </w:pPr>
            <w:r w:rsidRPr="00847E60">
              <w:rPr>
                <w:rFonts w:ascii="Calibri" w:hAnsi="Calibri"/>
                <w:sz w:val="20"/>
                <w:szCs w:val="20"/>
              </w:rPr>
              <w:t>80.7%</w:t>
            </w:r>
          </w:p>
        </w:tc>
        <w:tc>
          <w:tcPr>
            <w:tcW w:w="1350"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161D3207" w14:textId="50877F47" w:rsidR="00584187" w:rsidRPr="00847E60" w:rsidRDefault="00584187" w:rsidP="00584187">
            <w:pPr>
              <w:jc w:val="center"/>
              <w:rPr>
                <w:rFonts w:ascii="Calibri" w:hAnsi="Calibri"/>
                <w:sz w:val="20"/>
                <w:szCs w:val="20"/>
              </w:rPr>
            </w:pPr>
            <w:r w:rsidRPr="00847E60">
              <w:rPr>
                <w:rFonts w:ascii="Calibri" w:hAnsi="Calibri"/>
                <w:sz w:val="20"/>
                <w:szCs w:val="20"/>
              </w:rPr>
              <w:t>83.8%</w:t>
            </w:r>
          </w:p>
        </w:tc>
        <w:tc>
          <w:tcPr>
            <w:tcW w:w="1440"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91503F1" w14:textId="727B42DE" w:rsidR="00584187" w:rsidRPr="00847E60" w:rsidRDefault="00584187" w:rsidP="00584187">
            <w:pPr>
              <w:jc w:val="center"/>
              <w:rPr>
                <w:rFonts w:ascii="Calibri" w:hAnsi="Calibri"/>
                <w:sz w:val="20"/>
                <w:szCs w:val="20"/>
              </w:rPr>
            </w:pPr>
            <w:r w:rsidRPr="00847E60">
              <w:rPr>
                <w:rFonts w:ascii="Calibri" w:hAnsi="Calibri"/>
                <w:sz w:val="20"/>
                <w:szCs w:val="20"/>
              </w:rPr>
              <w:t>84.4%</w:t>
            </w:r>
          </w:p>
        </w:tc>
        <w:tc>
          <w:tcPr>
            <w:tcW w:w="1440"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364526BE" w14:textId="77339E5B" w:rsidR="00584187" w:rsidRPr="00847E60" w:rsidRDefault="00584187" w:rsidP="00584187">
            <w:pPr>
              <w:jc w:val="center"/>
              <w:rPr>
                <w:rFonts w:ascii="Calibri" w:hAnsi="Calibri"/>
                <w:sz w:val="20"/>
                <w:szCs w:val="20"/>
              </w:rPr>
            </w:pPr>
            <w:r w:rsidRPr="00847E60">
              <w:rPr>
                <w:rFonts w:ascii="Calibri" w:hAnsi="Calibri"/>
                <w:sz w:val="20"/>
                <w:szCs w:val="20"/>
              </w:rPr>
              <w:t>75.8%</w:t>
            </w:r>
          </w:p>
        </w:tc>
        <w:tc>
          <w:tcPr>
            <w:tcW w:w="1440"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15EC19F9" w14:textId="2E18D3AB" w:rsidR="00584187" w:rsidRPr="00847E60" w:rsidRDefault="00B148DD" w:rsidP="00584187">
            <w:pPr>
              <w:jc w:val="center"/>
              <w:rPr>
                <w:rFonts w:ascii="Calibri" w:hAnsi="Calibri"/>
                <w:sz w:val="20"/>
                <w:szCs w:val="20"/>
              </w:rPr>
            </w:pPr>
            <w:r w:rsidRPr="00B148DD">
              <w:rPr>
                <w:rFonts w:ascii="Calibri" w:hAnsi="Calibri"/>
                <w:sz w:val="20"/>
                <w:szCs w:val="20"/>
              </w:rPr>
              <w:t>82.4%</w:t>
            </w:r>
          </w:p>
        </w:tc>
      </w:tr>
      <w:tr w:rsidR="00584187" w:rsidRPr="00847E60" w14:paraId="168A9CE5" w14:textId="77777777" w:rsidTr="001C42F5">
        <w:trPr>
          <w:trHeight w:val="323"/>
          <w:jc w:val="center"/>
        </w:trPr>
        <w:tc>
          <w:tcPr>
            <w:tcW w:w="2954" w:type="dxa"/>
            <w:tcBorders>
              <w:bottom w:val="single" w:sz="4" w:space="0" w:color="BFBFBF" w:themeColor="background1" w:themeShade="BF"/>
              <w:right w:val="single" w:sz="4" w:space="0" w:color="BFBFBF" w:themeColor="background1" w:themeShade="BF"/>
            </w:tcBorders>
            <w:shd w:val="clear" w:color="auto" w:fill="FFFFFF" w:themeFill="background1"/>
            <w:noWrap/>
            <w:vAlign w:val="bottom"/>
          </w:tcPr>
          <w:p w14:paraId="15127575" w14:textId="77777777" w:rsidR="00584187" w:rsidRPr="00847E60" w:rsidRDefault="00584187" w:rsidP="00584187">
            <w:pPr>
              <w:tabs>
                <w:tab w:val="left" w:pos="188"/>
              </w:tabs>
              <w:ind w:left="8" w:hanging="8"/>
              <w:jc w:val="right"/>
              <w:rPr>
                <w:rFonts w:ascii="Calibri" w:eastAsia="Times New Roman" w:hAnsi="Calibri" w:cs="Arial"/>
                <w:sz w:val="20"/>
                <w:szCs w:val="20"/>
              </w:rPr>
            </w:pPr>
            <w:r w:rsidRPr="00847E60">
              <w:rPr>
                <w:rFonts w:ascii="Calibri" w:eastAsia="Times New Roman" w:hAnsi="Calibri" w:cs="Arial"/>
                <w:sz w:val="20"/>
                <w:szCs w:val="20"/>
              </w:rPr>
              <w:t>Total Revenues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noWrap/>
          </w:tcPr>
          <w:p w14:paraId="0030B544" w14:textId="7CD2A4B4" w:rsidR="00584187" w:rsidRPr="00847E60" w:rsidRDefault="00584187" w:rsidP="00584187">
            <w:pPr>
              <w:jc w:val="center"/>
              <w:rPr>
                <w:rFonts w:ascii="Calibri" w:hAnsi="Calibri"/>
                <w:sz w:val="20"/>
                <w:szCs w:val="20"/>
              </w:rPr>
            </w:pPr>
            <w:r w:rsidRPr="00847E60">
              <w:rPr>
                <w:rFonts w:ascii="Calibri" w:hAnsi="Calibri" w:cs="Arial"/>
                <w:sz w:val="20"/>
                <w:szCs w:val="20"/>
              </w:rPr>
              <w:t>205,880,435</w:t>
            </w:r>
          </w:p>
        </w:tc>
        <w:tc>
          <w:tcPr>
            <w:tcW w:w="1350" w:type="dxa"/>
            <w:tcBorders>
              <w:top w:val="single" w:sz="4" w:space="0" w:color="BFBFBF" w:themeColor="background1" w:themeShade="BF"/>
              <w:bottom w:val="single" w:sz="4" w:space="0" w:color="BFBFBF" w:themeColor="background1" w:themeShade="BF"/>
            </w:tcBorders>
            <w:shd w:val="clear" w:color="auto" w:fill="FFFFFF" w:themeFill="background1"/>
            <w:noWrap/>
          </w:tcPr>
          <w:p w14:paraId="67A6A82D" w14:textId="491B6646" w:rsidR="00584187" w:rsidRPr="00847E60" w:rsidRDefault="00584187" w:rsidP="00584187">
            <w:pPr>
              <w:jc w:val="center"/>
              <w:rPr>
                <w:rFonts w:ascii="Calibri" w:hAnsi="Calibri"/>
                <w:sz w:val="20"/>
                <w:szCs w:val="20"/>
              </w:rPr>
            </w:pPr>
            <w:r w:rsidRPr="00847E60">
              <w:rPr>
                <w:rFonts w:ascii="Calibri" w:hAnsi="Calibri" w:cs="Arial"/>
                <w:sz w:val="20"/>
                <w:szCs w:val="20"/>
              </w:rPr>
              <w:t>198,727,117</w:t>
            </w:r>
          </w:p>
        </w:tc>
        <w:tc>
          <w:tcPr>
            <w:tcW w:w="1440" w:type="dxa"/>
            <w:tcBorders>
              <w:top w:val="single" w:sz="4" w:space="0" w:color="BFBFBF" w:themeColor="background1" w:themeShade="BF"/>
              <w:bottom w:val="single" w:sz="4" w:space="0" w:color="BFBFBF" w:themeColor="background1" w:themeShade="BF"/>
            </w:tcBorders>
            <w:shd w:val="clear" w:color="auto" w:fill="FFFFFF" w:themeFill="background1"/>
          </w:tcPr>
          <w:p w14:paraId="7F8EA235" w14:textId="21DD15CE" w:rsidR="00584187" w:rsidRPr="00847E60" w:rsidRDefault="00584187" w:rsidP="00584187">
            <w:pPr>
              <w:jc w:val="center"/>
              <w:rPr>
                <w:rFonts w:ascii="Calibri" w:hAnsi="Calibri"/>
                <w:sz w:val="20"/>
                <w:szCs w:val="20"/>
              </w:rPr>
            </w:pPr>
            <w:r w:rsidRPr="00847E60">
              <w:rPr>
                <w:rFonts w:ascii="Calibri" w:hAnsi="Calibri" w:cs="Arial"/>
                <w:sz w:val="20"/>
                <w:szCs w:val="20"/>
              </w:rPr>
              <w:t>214,388,903</w:t>
            </w:r>
          </w:p>
        </w:tc>
        <w:tc>
          <w:tcPr>
            <w:tcW w:w="1440" w:type="dxa"/>
            <w:tcBorders>
              <w:top w:val="single" w:sz="4" w:space="0" w:color="BFBFBF" w:themeColor="background1" w:themeShade="BF"/>
              <w:bottom w:val="single" w:sz="4" w:space="0" w:color="BFBFBF" w:themeColor="background1" w:themeShade="BF"/>
            </w:tcBorders>
            <w:shd w:val="clear" w:color="auto" w:fill="FFFFFF" w:themeFill="background1"/>
            <w:noWrap/>
          </w:tcPr>
          <w:p w14:paraId="1DF1CE02" w14:textId="6D6721F2" w:rsidR="00584187" w:rsidRPr="00847E60" w:rsidRDefault="00584187" w:rsidP="00584187">
            <w:pPr>
              <w:jc w:val="center"/>
              <w:rPr>
                <w:rFonts w:ascii="Calibri" w:hAnsi="Calibri"/>
                <w:sz w:val="20"/>
                <w:szCs w:val="20"/>
              </w:rPr>
            </w:pPr>
            <w:r w:rsidRPr="00847E60">
              <w:rPr>
                <w:rFonts w:ascii="Calibri" w:hAnsi="Calibri"/>
                <w:sz w:val="20"/>
                <w:szCs w:val="20"/>
              </w:rPr>
              <w:t>257,140,218</w:t>
            </w:r>
          </w:p>
        </w:tc>
        <w:tc>
          <w:tcPr>
            <w:tcW w:w="1440" w:type="dxa"/>
            <w:tcBorders>
              <w:top w:val="single" w:sz="4" w:space="0" w:color="BFBFBF" w:themeColor="background1" w:themeShade="BF"/>
              <w:bottom w:val="single" w:sz="4" w:space="0" w:color="BFBFBF" w:themeColor="background1" w:themeShade="BF"/>
            </w:tcBorders>
            <w:shd w:val="clear" w:color="auto" w:fill="FFFFFF" w:themeFill="background1"/>
          </w:tcPr>
          <w:p w14:paraId="6078D4DA" w14:textId="5A22C9A4" w:rsidR="00584187" w:rsidRPr="00847E60" w:rsidRDefault="00B148DD" w:rsidP="00584187">
            <w:pPr>
              <w:jc w:val="center"/>
              <w:rPr>
                <w:rFonts w:ascii="Calibri" w:hAnsi="Calibri"/>
                <w:sz w:val="20"/>
                <w:szCs w:val="20"/>
              </w:rPr>
            </w:pPr>
            <w:r>
              <w:rPr>
                <w:rFonts w:ascii="Calibri" w:hAnsi="Calibri"/>
                <w:sz w:val="20"/>
                <w:szCs w:val="20"/>
              </w:rPr>
              <w:t>251,619,785</w:t>
            </w:r>
          </w:p>
        </w:tc>
      </w:tr>
    </w:tbl>
    <w:p w14:paraId="5EB1ADAB" w14:textId="77777777" w:rsidR="002A30E5" w:rsidRPr="00847E60" w:rsidRDefault="002A30E5" w:rsidP="002A30E5">
      <w:pPr>
        <w:autoSpaceDE w:val="0"/>
        <w:autoSpaceDN w:val="0"/>
        <w:adjustRightInd w:val="0"/>
        <w:rPr>
          <w:bCs/>
          <w:sz w:val="16"/>
          <w:szCs w:val="16"/>
        </w:rPr>
      </w:pPr>
      <w:bookmarkStart w:id="129" w:name="_Toc288801621"/>
      <w:r w:rsidRPr="00847E60">
        <w:rPr>
          <w:bCs/>
          <w:sz w:val="16"/>
          <w:szCs w:val="16"/>
        </w:rPr>
        <w:t>Source: Fiscal Executive Summary Cube</w:t>
      </w:r>
    </w:p>
    <w:p w14:paraId="616066F7" w14:textId="77777777" w:rsidR="002A30E5" w:rsidRPr="00847E60" w:rsidRDefault="002A30E5" w:rsidP="002A30E5">
      <w:pPr>
        <w:autoSpaceDE w:val="0"/>
        <w:autoSpaceDN w:val="0"/>
        <w:adjustRightInd w:val="0"/>
        <w:rPr>
          <w:bCs/>
          <w:sz w:val="20"/>
          <w:szCs w:val="20"/>
        </w:rPr>
      </w:pPr>
    </w:p>
    <w:p w14:paraId="4A5AF682" w14:textId="77777777" w:rsidR="002A30E5" w:rsidRPr="003922DD" w:rsidRDefault="002A30E5" w:rsidP="002A30E5">
      <w:pPr>
        <w:pStyle w:val="Heading2"/>
        <w:spacing w:before="0"/>
        <w:rPr>
          <w:color w:val="auto"/>
        </w:rPr>
      </w:pPr>
      <w:bookmarkStart w:id="130" w:name="_Toc341183260"/>
      <w:bookmarkStart w:id="131" w:name="_Toc506217439"/>
      <w:r w:rsidRPr="003922DD">
        <w:rPr>
          <w:color w:val="auto"/>
        </w:rPr>
        <w:t>Unrestricted General Fund: Salaries and Benefits</w:t>
      </w:r>
      <w:bookmarkEnd w:id="129"/>
      <w:bookmarkEnd w:id="130"/>
      <w:bookmarkEnd w:id="131"/>
    </w:p>
    <w:p w14:paraId="1EAFBED5" w14:textId="77777777" w:rsidR="002A30E5" w:rsidRPr="003922DD" w:rsidRDefault="002A30E5" w:rsidP="002A30E5">
      <w:pPr>
        <w:keepNext/>
        <w:autoSpaceDE w:val="0"/>
        <w:autoSpaceDN w:val="0"/>
        <w:adjustRightInd w:val="0"/>
        <w:rPr>
          <w:sz w:val="16"/>
          <w:szCs w:val="16"/>
        </w:rPr>
      </w:pPr>
    </w:p>
    <w:p w14:paraId="5738B08B" w14:textId="55153404" w:rsidR="002A30E5" w:rsidRPr="003922DD" w:rsidRDefault="002A30E5" w:rsidP="002A30E5">
      <w:pPr>
        <w:keepNext/>
        <w:autoSpaceDE w:val="0"/>
        <w:autoSpaceDN w:val="0"/>
        <w:adjustRightInd w:val="0"/>
      </w:pPr>
      <w:r w:rsidRPr="003922DD">
        <w:t>District-wide, in FY 201</w:t>
      </w:r>
      <w:r w:rsidR="00B15D78">
        <w:t>6</w:t>
      </w:r>
      <w:r w:rsidRPr="003922DD">
        <w:t>-1</w:t>
      </w:r>
      <w:r w:rsidR="00B15D78">
        <w:t>7</w:t>
      </w:r>
      <w:r w:rsidRPr="003922DD">
        <w:t xml:space="preserve"> expenditures for unrestricted salaries and benefits continued to climb to its highest number in the last five </w:t>
      </w:r>
      <w:r w:rsidRPr="003922DD">
        <w:lastRenderedPageBreak/>
        <w:t xml:space="preserve">years. When examining salaries and benefits as a percentage of the unrestricted general fund revenues, this percentage has </w:t>
      </w:r>
      <w:r w:rsidR="00B17422">
        <w:t>increased to a high of</w:t>
      </w:r>
      <w:r w:rsidRPr="003922DD">
        <w:t xml:space="preserve"> 8</w:t>
      </w:r>
      <w:r w:rsidR="00B15D78">
        <w:t>7.0</w:t>
      </w:r>
      <w:r w:rsidRPr="003922DD">
        <w:t>% in FY 201</w:t>
      </w:r>
      <w:r w:rsidR="00B15D78">
        <w:t>6</w:t>
      </w:r>
      <w:r w:rsidRPr="003922DD">
        <w:t>-1</w:t>
      </w:r>
      <w:r w:rsidR="00B15D78">
        <w:t>7</w:t>
      </w:r>
      <w:r w:rsidRPr="003922DD">
        <w:t xml:space="preserve">. This means that the District’s ability to expend unrestricted general funds on projects and new initiatives </w:t>
      </w:r>
      <w:r w:rsidR="00B17422">
        <w:t>is more limited</w:t>
      </w:r>
      <w:r w:rsidRPr="003922DD">
        <w:t>.</w:t>
      </w:r>
    </w:p>
    <w:p w14:paraId="34D9A30E" w14:textId="77777777" w:rsidR="002A30E5" w:rsidRPr="00B9364B" w:rsidRDefault="002A30E5" w:rsidP="002A30E5">
      <w:pPr>
        <w:keepNext/>
        <w:autoSpaceDE w:val="0"/>
        <w:autoSpaceDN w:val="0"/>
        <w:adjustRightInd w:val="0"/>
        <w:rPr>
          <w:color w:val="FF0000"/>
          <w:sz w:val="16"/>
          <w:szCs w:val="16"/>
        </w:rPr>
      </w:pPr>
    </w:p>
    <w:p w14:paraId="1C5132C5" w14:textId="77777777" w:rsidR="002A30E5" w:rsidRPr="007A04BF" w:rsidRDefault="002A30E5" w:rsidP="002A30E5">
      <w:pPr>
        <w:keepNext/>
        <w:keepLines/>
        <w:autoSpaceDE w:val="0"/>
        <w:autoSpaceDN w:val="0"/>
        <w:adjustRightInd w:val="0"/>
        <w:jc w:val="center"/>
        <w:rPr>
          <w:rFonts w:ascii="Calibri" w:hAnsi="Calibri"/>
          <w:b/>
          <w:bCs/>
        </w:rPr>
      </w:pPr>
      <w:bookmarkStart w:id="132" w:name="OLE_LINK1"/>
      <w:r w:rsidRPr="007A04BF">
        <w:rPr>
          <w:rFonts w:ascii="Calibri" w:hAnsi="Calibri"/>
          <w:b/>
          <w:bCs/>
        </w:rPr>
        <w:t xml:space="preserve">Unrestricted Salaries &amp; Benefits as a Percentage of Unrestricted General Fund (GF) </w:t>
      </w:r>
      <w:bookmarkEnd w:id="132"/>
      <w:r w:rsidRPr="007A04BF">
        <w:rPr>
          <w:rFonts w:ascii="Calibri" w:hAnsi="Calibri"/>
          <w:b/>
          <w:bCs/>
        </w:rPr>
        <w:t>Revenues</w:t>
      </w:r>
      <w:r w:rsidRPr="007A04BF">
        <w:rPr>
          <w:rFonts w:ascii="Calibri" w:hAnsi="Calibri"/>
          <w:b/>
          <w:bCs/>
        </w:rPr>
        <w:fldChar w:fldCharType="begin"/>
      </w:r>
      <w:r w:rsidRPr="007A04BF">
        <w:rPr>
          <w:rFonts w:ascii="Calibri" w:hAnsi="Calibri"/>
        </w:rPr>
        <w:instrText>c "</w:instrText>
      </w:r>
      <w:r w:rsidRPr="007A04BF">
        <w:rPr>
          <w:rFonts w:ascii="Calibri" w:hAnsi="Calibri"/>
          <w:b/>
          <w:bCs/>
        </w:rPr>
        <w:instrText>Figure VI.5 Unrestricted Salaries &amp; Benefits as a Percentage of the Unrestricted General Fund Expenses"</w:instrText>
      </w:r>
      <w:r w:rsidRPr="007A04BF">
        <w:rPr>
          <w:rFonts w:ascii="Calibri" w:hAnsi="Calibri"/>
          <w:b/>
          <w:bCs/>
        </w:rPr>
        <w:fldChar w:fldCharType="separate"/>
      </w:r>
      <w:r w:rsidRPr="007A04BF">
        <w:rPr>
          <w:rFonts w:ascii="Calibri" w:hAnsi="Calibri"/>
        </w:rPr>
        <w:t>.</w:t>
      </w:r>
      <w:r w:rsidRPr="007A04BF">
        <w:rPr>
          <w:rFonts w:ascii="Calibri" w:hAnsi="Calibri"/>
          <w:b/>
          <w:bCs/>
        </w:rPr>
        <w:fldChar w:fldCharType="end"/>
      </w:r>
    </w:p>
    <w:tbl>
      <w:tblPr>
        <w:tblW w:w="0" w:type="auto"/>
        <w:tblLayout w:type="fixed"/>
        <w:tblLook w:val="04A0" w:firstRow="1" w:lastRow="0" w:firstColumn="1" w:lastColumn="0" w:noHBand="0" w:noVBand="1"/>
      </w:tblPr>
      <w:tblGrid>
        <w:gridCol w:w="3780"/>
        <w:gridCol w:w="1350"/>
        <w:gridCol w:w="1350"/>
        <w:gridCol w:w="1236"/>
        <w:gridCol w:w="24"/>
        <w:gridCol w:w="1692"/>
        <w:gridCol w:w="1260"/>
      </w:tblGrid>
      <w:tr w:rsidR="00584187" w:rsidRPr="007A04BF" w14:paraId="08ABE9EF" w14:textId="77777777" w:rsidTr="001C42F5">
        <w:trPr>
          <w:trHeight w:val="270"/>
        </w:trPr>
        <w:tc>
          <w:tcPr>
            <w:tcW w:w="3780"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72156B82" w14:textId="77777777" w:rsidR="00584187" w:rsidRPr="007A04BF" w:rsidRDefault="00584187" w:rsidP="00584187">
            <w:pPr>
              <w:keepNext/>
              <w:keepLines/>
              <w:rPr>
                <w:rFonts w:ascii="Calibri" w:eastAsia="Times New Roman" w:hAnsi="Calibri" w:cs="Arial"/>
                <w:b/>
                <w:sz w:val="20"/>
                <w:szCs w:val="20"/>
              </w:rPr>
            </w:pPr>
            <w:r w:rsidRPr="007A04BF">
              <w:rPr>
                <w:rFonts w:ascii="Calibri" w:eastAsia="Times New Roman" w:hAnsi="Calibri" w:cs="Arial"/>
                <w:b/>
                <w:sz w:val="20"/>
                <w:szCs w:val="20"/>
              </w:rPr>
              <w:t>Unrestricted General Fund:</w:t>
            </w:r>
          </w:p>
          <w:p w14:paraId="3ACA400E" w14:textId="77777777" w:rsidR="00584187" w:rsidRPr="007A04BF" w:rsidRDefault="00584187" w:rsidP="00584187">
            <w:pPr>
              <w:keepNext/>
              <w:keepLines/>
              <w:rPr>
                <w:rFonts w:ascii="Calibri" w:eastAsia="Times New Roman" w:hAnsi="Calibri" w:cs="Arial"/>
                <w:b/>
                <w:sz w:val="20"/>
                <w:szCs w:val="20"/>
              </w:rPr>
            </w:pPr>
            <w:r w:rsidRPr="007A04BF">
              <w:rPr>
                <w:rFonts w:ascii="Calibri" w:eastAsia="Times New Roman" w:hAnsi="Calibri" w:cs="Arial"/>
                <w:b/>
                <w:sz w:val="20"/>
                <w:szCs w:val="20"/>
              </w:rPr>
              <w:t>Salaries and Benefits</w:t>
            </w:r>
          </w:p>
        </w:tc>
        <w:tc>
          <w:tcPr>
            <w:tcW w:w="1350"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7C082D3A" w14:textId="66507461" w:rsidR="00584187" w:rsidRPr="007A04BF" w:rsidRDefault="00584187" w:rsidP="00584187">
            <w:pPr>
              <w:keepNext/>
              <w:keepLines/>
              <w:jc w:val="center"/>
              <w:rPr>
                <w:rFonts w:ascii="Calibri" w:eastAsia="Times New Roman" w:hAnsi="Calibri" w:cs="Arial"/>
                <w:b/>
                <w:sz w:val="20"/>
                <w:szCs w:val="20"/>
              </w:rPr>
            </w:pPr>
            <w:r w:rsidRPr="007A04BF">
              <w:rPr>
                <w:rFonts w:ascii="Calibri" w:eastAsia="Times New Roman" w:hAnsi="Calibri" w:cs="Arial"/>
                <w:b/>
                <w:sz w:val="20"/>
                <w:szCs w:val="20"/>
              </w:rPr>
              <w:t>FY  2012-13</w:t>
            </w:r>
          </w:p>
        </w:tc>
        <w:tc>
          <w:tcPr>
            <w:tcW w:w="1350" w:type="dxa"/>
            <w:tcBorders>
              <w:top w:val="single" w:sz="4" w:space="0" w:color="BFBFBF" w:themeColor="background1" w:themeShade="BF"/>
              <w:bottom w:val="single" w:sz="4" w:space="0" w:color="auto"/>
            </w:tcBorders>
            <w:shd w:val="clear" w:color="auto" w:fill="D9D9D9" w:themeFill="background1" w:themeFillShade="D9"/>
            <w:noWrap/>
            <w:vAlign w:val="bottom"/>
          </w:tcPr>
          <w:p w14:paraId="60BC0999" w14:textId="4C38F3CA" w:rsidR="00584187" w:rsidRPr="007A04BF" w:rsidRDefault="00584187" w:rsidP="00584187">
            <w:pPr>
              <w:keepNext/>
              <w:keepLines/>
              <w:jc w:val="center"/>
              <w:rPr>
                <w:rFonts w:ascii="Calibri" w:eastAsia="Times New Roman" w:hAnsi="Calibri" w:cs="Arial"/>
                <w:b/>
                <w:sz w:val="20"/>
                <w:szCs w:val="20"/>
              </w:rPr>
            </w:pPr>
            <w:r w:rsidRPr="007A04BF">
              <w:rPr>
                <w:rFonts w:ascii="Calibri" w:eastAsia="Times New Roman" w:hAnsi="Calibri" w:cs="Arial"/>
                <w:b/>
                <w:sz w:val="20"/>
                <w:szCs w:val="20"/>
              </w:rPr>
              <w:t>FY  2013-14</w:t>
            </w:r>
          </w:p>
        </w:tc>
        <w:tc>
          <w:tcPr>
            <w:tcW w:w="1260" w:type="dxa"/>
            <w:gridSpan w:val="2"/>
            <w:tcBorders>
              <w:top w:val="single" w:sz="4" w:space="0" w:color="BFBFBF" w:themeColor="background1" w:themeShade="BF"/>
              <w:bottom w:val="single" w:sz="4" w:space="0" w:color="auto"/>
            </w:tcBorders>
            <w:shd w:val="clear" w:color="auto" w:fill="D9D9D9" w:themeFill="background1" w:themeFillShade="D9"/>
            <w:vAlign w:val="bottom"/>
          </w:tcPr>
          <w:p w14:paraId="28C9126B" w14:textId="12BC3BC5" w:rsidR="00584187" w:rsidRPr="007A04BF" w:rsidRDefault="00584187" w:rsidP="00584187">
            <w:pPr>
              <w:keepNext/>
              <w:keepLines/>
              <w:jc w:val="center"/>
              <w:rPr>
                <w:rFonts w:ascii="Calibri" w:eastAsia="Times New Roman" w:hAnsi="Calibri" w:cs="Arial"/>
                <w:b/>
                <w:sz w:val="20"/>
                <w:szCs w:val="20"/>
              </w:rPr>
            </w:pPr>
            <w:r w:rsidRPr="007A04BF">
              <w:rPr>
                <w:rFonts w:ascii="Calibri" w:eastAsia="Times New Roman" w:hAnsi="Calibri" w:cs="Arial"/>
                <w:b/>
                <w:sz w:val="20"/>
                <w:szCs w:val="20"/>
              </w:rPr>
              <w:t>FY  2014-15</w:t>
            </w:r>
          </w:p>
        </w:tc>
        <w:tc>
          <w:tcPr>
            <w:tcW w:w="1692" w:type="dxa"/>
            <w:tcBorders>
              <w:top w:val="single" w:sz="4" w:space="0" w:color="BFBFBF" w:themeColor="background1" w:themeShade="BF"/>
              <w:bottom w:val="single" w:sz="4" w:space="0" w:color="auto"/>
            </w:tcBorders>
            <w:shd w:val="clear" w:color="auto" w:fill="D9D9D9" w:themeFill="background1" w:themeFillShade="D9"/>
            <w:noWrap/>
            <w:vAlign w:val="bottom"/>
          </w:tcPr>
          <w:p w14:paraId="44D4528F" w14:textId="6F5729A0" w:rsidR="00584187" w:rsidRPr="007A04BF" w:rsidRDefault="00584187" w:rsidP="00584187">
            <w:pPr>
              <w:keepNext/>
              <w:keepLines/>
              <w:jc w:val="center"/>
              <w:rPr>
                <w:rFonts w:ascii="Calibri" w:eastAsia="Times New Roman" w:hAnsi="Calibri" w:cs="Arial"/>
                <w:b/>
                <w:sz w:val="20"/>
                <w:szCs w:val="20"/>
              </w:rPr>
            </w:pPr>
            <w:r w:rsidRPr="007A04BF">
              <w:rPr>
                <w:rFonts w:ascii="Calibri" w:eastAsia="Times New Roman" w:hAnsi="Calibri" w:cs="Arial"/>
                <w:b/>
                <w:sz w:val="20"/>
                <w:szCs w:val="20"/>
              </w:rPr>
              <w:t>FY  2015-16</w:t>
            </w:r>
          </w:p>
        </w:tc>
        <w:tc>
          <w:tcPr>
            <w:tcW w:w="1260" w:type="dxa"/>
            <w:tcBorders>
              <w:top w:val="single" w:sz="4" w:space="0" w:color="BFBFBF" w:themeColor="background1" w:themeShade="BF"/>
              <w:bottom w:val="single" w:sz="4" w:space="0" w:color="auto"/>
            </w:tcBorders>
            <w:shd w:val="clear" w:color="auto" w:fill="D9D9D9" w:themeFill="background1" w:themeFillShade="D9"/>
            <w:vAlign w:val="bottom"/>
          </w:tcPr>
          <w:p w14:paraId="207020ED" w14:textId="32DA43E5" w:rsidR="00584187" w:rsidRPr="007A04BF" w:rsidRDefault="00584187" w:rsidP="00584187">
            <w:pPr>
              <w:keepNext/>
              <w:keepLines/>
              <w:jc w:val="center"/>
              <w:rPr>
                <w:rFonts w:ascii="Calibri" w:eastAsia="Times New Roman" w:hAnsi="Calibri" w:cs="Arial"/>
                <w:b/>
                <w:sz w:val="20"/>
                <w:szCs w:val="20"/>
              </w:rPr>
            </w:pPr>
            <w:r w:rsidRPr="007A04BF">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7A04BF" w14:paraId="420FB7A0" w14:textId="77777777" w:rsidTr="001C42F5">
        <w:trPr>
          <w:trHeight w:val="270"/>
        </w:trPr>
        <w:tc>
          <w:tcPr>
            <w:tcW w:w="3780" w:type="dxa"/>
            <w:tcBorders>
              <w:top w:val="single" w:sz="4" w:space="0" w:color="BFBFBF" w:themeColor="background1" w:themeShade="BF"/>
              <w:right w:val="single" w:sz="4" w:space="0" w:color="BFBFBF" w:themeColor="background1" w:themeShade="BF"/>
            </w:tcBorders>
            <w:shd w:val="clear" w:color="auto" w:fill="FBD4B4" w:themeFill="accent6" w:themeFillTint="66"/>
            <w:noWrap/>
            <w:vAlign w:val="center"/>
          </w:tcPr>
          <w:p w14:paraId="463A3464" w14:textId="77777777" w:rsidR="00584187" w:rsidRPr="007A04BF" w:rsidRDefault="00584187" w:rsidP="00584187">
            <w:pPr>
              <w:keepNext/>
              <w:keepLines/>
              <w:rPr>
                <w:rFonts w:ascii="Calibri" w:eastAsia="Times New Roman" w:hAnsi="Calibri" w:cs="Arial"/>
                <w:sz w:val="20"/>
                <w:szCs w:val="20"/>
              </w:rPr>
            </w:pPr>
            <w:r w:rsidRPr="007A04BF">
              <w:rPr>
                <w:rFonts w:ascii="Calibri" w:eastAsia="Times New Roman" w:hAnsi="Calibri" w:cs="Arial"/>
                <w:sz w:val="20"/>
                <w:szCs w:val="20"/>
              </w:rPr>
              <w:t>Orange  Coast</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41F8AD81" w14:textId="6EBA5DA9" w:rsidR="00584187" w:rsidRPr="007A04BF" w:rsidRDefault="00694D00" w:rsidP="00584187">
            <w:pPr>
              <w:keepNext/>
              <w:keepLines/>
              <w:jc w:val="center"/>
              <w:rPr>
                <w:rFonts w:ascii="Calibri" w:eastAsia="Times New Roman" w:hAnsi="Calibri" w:cs="Arial"/>
                <w:sz w:val="20"/>
                <w:szCs w:val="20"/>
              </w:rPr>
            </w:pPr>
            <w:r>
              <w:rPr>
                <w:rFonts w:ascii="Calibri" w:hAnsi="Calibri"/>
                <w:sz w:val="20"/>
                <w:szCs w:val="20"/>
              </w:rPr>
              <w:t>$</w:t>
            </w:r>
            <w:r w:rsidR="00584187" w:rsidRPr="007A04BF">
              <w:rPr>
                <w:rFonts w:ascii="Calibri" w:hAnsi="Calibri"/>
                <w:sz w:val="20"/>
                <w:szCs w:val="20"/>
              </w:rPr>
              <w:t>66,090,739</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7C250B25" w14:textId="02DA5D0D" w:rsidR="00584187" w:rsidRPr="007A04BF" w:rsidRDefault="00694D00" w:rsidP="00584187">
            <w:pPr>
              <w:keepNext/>
              <w:keepLines/>
              <w:jc w:val="center"/>
              <w:rPr>
                <w:rFonts w:ascii="Calibri" w:eastAsia="Times New Roman" w:hAnsi="Calibri" w:cs="Arial"/>
                <w:sz w:val="20"/>
                <w:szCs w:val="20"/>
              </w:rPr>
            </w:pPr>
            <w:r>
              <w:rPr>
                <w:rFonts w:ascii="Calibri" w:hAnsi="Calibri"/>
                <w:sz w:val="20"/>
                <w:szCs w:val="20"/>
              </w:rPr>
              <w:t>$</w:t>
            </w:r>
            <w:r w:rsidR="00584187" w:rsidRPr="007A04BF">
              <w:rPr>
                <w:rFonts w:ascii="Calibri" w:hAnsi="Calibri"/>
                <w:sz w:val="20"/>
                <w:szCs w:val="20"/>
              </w:rPr>
              <w:t>64,276,744</w:t>
            </w:r>
          </w:p>
        </w:tc>
        <w:tc>
          <w:tcPr>
            <w:tcW w:w="1236"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3429901D" w14:textId="4878462D" w:rsidR="00584187" w:rsidRPr="007A04BF" w:rsidRDefault="00694D00" w:rsidP="00584187">
            <w:pPr>
              <w:keepNext/>
              <w:keepLines/>
              <w:jc w:val="center"/>
              <w:rPr>
                <w:rFonts w:ascii="Calibri" w:eastAsia="Times New Roman" w:hAnsi="Calibri" w:cs="Arial"/>
                <w:sz w:val="20"/>
                <w:szCs w:val="20"/>
              </w:rPr>
            </w:pPr>
            <w:r>
              <w:rPr>
                <w:rFonts w:ascii="Calibri" w:hAnsi="Calibri"/>
                <w:sz w:val="20"/>
                <w:szCs w:val="20"/>
              </w:rPr>
              <w:t>$</w:t>
            </w:r>
            <w:r w:rsidR="00584187" w:rsidRPr="007A04BF">
              <w:rPr>
                <w:rFonts w:ascii="Calibri" w:hAnsi="Calibri"/>
                <w:sz w:val="20"/>
                <w:szCs w:val="20"/>
              </w:rPr>
              <w:t>70,178,364</w:t>
            </w:r>
          </w:p>
        </w:tc>
        <w:tc>
          <w:tcPr>
            <w:tcW w:w="1716" w:type="dxa"/>
            <w:gridSpan w:val="2"/>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398A842C" w14:textId="0B9F17F3"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 xml:space="preserve"> </w:t>
            </w:r>
            <w:r w:rsidR="00694D00">
              <w:rPr>
                <w:rFonts w:ascii="Calibri" w:hAnsi="Calibri"/>
                <w:sz w:val="20"/>
                <w:szCs w:val="20"/>
              </w:rPr>
              <w:t>$</w:t>
            </w:r>
            <w:r w:rsidRPr="007A04BF">
              <w:rPr>
                <w:rFonts w:ascii="Calibri" w:hAnsi="Calibri"/>
                <w:sz w:val="20"/>
                <w:szCs w:val="20"/>
              </w:rPr>
              <w:t xml:space="preserve">71,938,622   </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11FD6B72" w14:textId="18609690"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$75,855,767</w:t>
            </w:r>
          </w:p>
        </w:tc>
      </w:tr>
      <w:tr w:rsidR="00584187" w:rsidRPr="007A04BF" w14:paraId="2CD15089" w14:textId="77777777" w:rsidTr="001C42F5">
        <w:trPr>
          <w:trHeight w:val="270"/>
        </w:trPr>
        <w:tc>
          <w:tcPr>
            <w:tcW w:w="3780" w:type="dxa"/>
            <w:tcBorders>
              <w:bottom w:val="single" w:sz="4" w:space="0" w:color="BFBFBF" w:themeColor="background1" w:themeShade="BF"/>
              <w:right w:val="single" w:sz="4" w:space="0" w:color="BFBFBF" w:themeColor="background1" w:themeShade="BF"/>
            </w:tcBorders>
            <w:shd w:val="clear" w:color="auto" w:fill="FBD4B4" w:themeFill="accent6" w:themeFillTint="66"/>
            <w:noWrap/>
            <w:vAlign w:val="center"/>
          </w:tcPr>
          <w:p w14:paraId="70044C57"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6FF18FED" w14:textId="7A039F52"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36.4%</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212B6DB6" w14:textId="4F0E7709"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35.9%</w:t>
            </w:r>
          </w:p>
        </w:tc>
        <w:tc>
          <w:tcPr>
            <w:tcW w:w="1236"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1A1CA747" w14:textId="16242146"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36.8%</w:t>
            </w:r>
          </w:p>
        </w:tc>
        <w:tc>
          <w:tcPr>
            <w:tcW w:w="1716" w:type="dxa"/>
            <w:gridSpan w:val="2"/>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5849FF32" w14:textId="14C9C8AD"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31.9%</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29D0080B" w14:textId="3129FA13"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35.7%</w:t>
            </w:r>
          </w:p>
        </w:tc>
      </w:tr>
      <w:tr w:rsidR="00584187" w:rsidRPr="007A04BF" w14:paraId="10EC2B8C" w14:textId="77777777" w:rsidTr="001C42F5">
        <w:trPr>
          <w:trHeight w:val="270"/>
        </w:trPr>
        <w:tc>
          <w:tcPr>
            <w:tcW w:w="3780" w:type="dxa"/>
            <w:tcBorders>
              <w:top w:val="single" w:sz="4" w:space="0" w:color="BFBFBF" w:themeColor="background1" w:themeShade="BF"/>
              <w:right w:val="single" w:sz="4" w:space="0" w:color="BFBFBF" w:themeColor="background1" w:themeShade="BF"/>
            </w:tcBorders>
            <w:shd w:val="clear" w:color="auto" w:fill="D6E3BC" w:themeFill="accent3" w:themeFillTint="66"/>
            <w:noWrap/>
            <w:vAlign w:val="center"/>
          </w:tcPr>
          <w:p w14:paraId="750B56A2" w14:textId="77777777" w:rsidR="00584187" w:rsidRPr="007A04BF" w:rsidRDefault="00584187" w:rsidP="00584187">
            <w:pPr>
              <w:keepNext/>
              <w:keepLines/>
              <w:rPr>
                <w:rFonts w:ascii="Calibri" w:eastAsia="Times New Roman" w:hAnsi="Calibri" w:cs="Arial"/>
                <w:sz w:val="20"/>
                <w:szCs w:val="20"/>
              </w:rPr>
            </w:pPr>
            <w:r w:rsidRPr="007A04BF">
              <w:rPr>
                <w:rFonts w:ascii="Calibri" w:eastAsia="Times New Roman" w:hAnsi="Calibri" w:cs="Arial"/>
                <w:sz w:val="20"/>
                <w:szCs w:val="20"/>
              </w:rPr>
              <w:t>Golden  West</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4F076DE7" w14:textId="38113427"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39,575,339</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6B1003DE" w14:textId="3D742D87"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39,189,419</w:t>
            </w:r>
          </w:p>
        </w:tc>
        <w:tc>
          <w:tcPr>
            <w:tcW w:w="1236"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60714A64" w14:textId="7581C0F4"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40,952,784</w:t>
            </w:r>
          </w:p>
        </w:tc>
        <w:tc>
          <w:tcPr>
            <w:tcW w:w="1716" w:type="dxa"/>
            <w:gridSpan w:val="2"/>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753FCA26" w14:textId="259E5B40"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43,374,361</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2B3AFC42" w14:textId="6E373FB6"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 xml:space="preserve">46,267,718   </w:t>
            </w:r>
          </w:p>
        </w:tc>
      </w:tr>
      <w:tr w:rsidR="00584187" w:rsidRPr="007A04BF" w14:paraId="14DCD59F" w14:textId="77777777" w:rsidTr="001C42F5">
        <w:trPr>
          <w:trHeight w:val="270"/>
        </w:trPr>
        <w:tc>
          <w:tcPr>
            <w:tcW w:w="3780" w:type="dxa"/>
            <w:tcBorders>
              <w:bottom w:val="single" w:sz="4" w:space="0" w:color="BFBFBF" w:themeColor="background1" w:themeShade="BF"/>
              <w:right w:val="single" w:sz="4" w:space="0" w:color="BFBFBF" w:themeColor="background1" w:themeShade="BF"/>
            </w:tcBorders>
            <w:shd w:val="clear" w:color="auto" w:fill="D6E3BC" w:themeFill="accent3" w:themeFillTint="66"/>
            <w:noWrap/>
            <w:vAlign w:val="center"/>
          </w:tcPr>
          <w:p w14:paraId="4F4F5CD8"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32A9B325" w14:textId="19B09B83"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21.8%</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334A62C4" w14:textId="75EF4D0F"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21.9%</w:t>
            </w:r>
          </w:p>
        </w:tc>
        <w:tc>
          <w:tcPr>
            <w:tcW w:w="1236"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47BBC841" w14:textId="6ADA4F95"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21.5%</w:t>
            </w:r>
          </w:p>
        </w:tc>
        <w:tc>
          <w:tcPr>
            <w:tcW w:w="1716" w:type="dxa"/>
            <w:gridSpan w:val="2"/>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09FE314B" w14:textId="35D7B402"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19.2%</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77B5CF41" w14:textId="7BCAA962"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21.8%</w:t>
            </w:r>
          </w:p>
        </w:tc>
      </w:tr>
      <w:tr w:rsidR="00584187" w:rsidRPr="007A04BF" w14:paraId="1A74BCFC" w14:textId="77777777" w:rsidTr="001C42F5">
        <w:trPr>
          <w:trHeight w:val="270"/>
        </w:trPr>
        <w:tc>
          <w:tcPr>
            <w:tcW w:w="3780" w:type="dxa"/>
            <w:tcBorders>
              <w:top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76FBE28A" w14:textId="77777777" w:rsidR="00584187" w:rsidRPr="007A04BF" w:rsidRDefault="00584187" w:rsidP="00584187">
            <w:pPr>
              <w:keepNext/>
              <w:keepLines/>
              <w:rPr>
                <w:rFonts w:ascii="Calibri" w:eastAsia="Times New Roman" w:hAnsi="Calibri" w:cs="Arial"/>
                <w:sz w:val="20"/>
                <w:szCs w:val="20"/>
              </w:rPr>
            </w:pPr>
            <w:r w:rsidRPr="007A04BF">
              <w:rPr>
                <w:rFonts w:ascii="Calibri" w:eastAsia="Times New Roman" w:hAnsi="Calibri" w:cs="Arial"/>
                <w:sz w:val="20"/>
                <w:szCs w:val="20"/>
              </w:rPr>
              <w:t>Coastline</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382EC7A9" w14:textId="354948CA"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20,430,251</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75AE7E3A" w14:textId="056AB128"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19,792,734</w:t>
            </w:r>
          </w:p>
        </w:tc>
        <w:tc>
          <w:tcPr>
            <w:tcW w:w="1236"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422D5D1F" w14:textId="49E6F638"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21,626,252</w:t>
            </w:r>
          </w:p>
        </w:tc>
        <w:tc>
          <w:tcPr>
            <w:tcW w:w="1716" w:type="dxa"/>
            <w:gridSpan w:val="2"/>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615A5762" w14:textId="2E9555FF"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 xml:space="preserve"> 23,411,474   </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61D744BC" w14:textId="562FC978"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 xml:space="preserve">24,430,661   </w:t>
            </w:r>
          </w:p>
        </w:tc>
      </w:tr>
      <w:tr w:rsidR="00584187" w:rsidRPr="007A04BF" w14:paraId="5BC7EA5A" w14:textId="77777777" w:rsidTr="001C42F5">
        <w:trPr>
          <w:trHeight w:val="270"/>
        </w:trPr>
        <w:tc>
          <w:tcPr>
            <w:tcW w:w="3780" w:type="dxa"/>
            <w:tcBorders>
              <w:bottom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0B82DD7A"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36774133" w14:textId="4BAB6DEB"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11.3%</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180D1DFE" w14:textId="6BFCF5F3"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11.1%</w:t>
            </w:r>
          </w:p>
        </w:tc>
        <w:tc>
          <w:tcPr>
            <w:tcW w:w="1236"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4A44524B" w14:textId="23107043"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11.3%</w:t>
            </w:r>
          </w:p>
        </w:tc>
        <w:tc>
          <w:tcPr>
            <w:tcW w:w="1716" w:type="dxa"/>
            <w:gridSpan w:val="2"/>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3A15E9DA" w14:textId="11F72458"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10.4%</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75B92B88" w14:textId="039FADA5"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11.5%</w:t>
            </w:r>
          </w:p>
        </w:tc>
      </w:tr>
      <w:tr w:rsidR="00584187" w:rsidRPr="007A04BF" w14:paraId="4482405A" w14:textId="77777777" w:rsidTr="001C42F5">
        <w:trPr>
          <w:trHeight w:val="270"/>
        </w:trPr>
        <w:tc>
          <w:tcPr>
            <w:tcW w:w="378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1F7678E8" w14:textId="77777777" w:rsidR="00584187" w:rsidRPr="007A04BF" w:rsidRDefault="00584187" w:rsidP="00584187">
            <w:pPr>
              <w:keepNext/>
              <w:keepLines/>
              <w:rPr>
                <w:rFonts w:ascii="Calibri" w:eastAsia="Times New Roman" w:hAnsi="Calibri" w:cs="Arial"/>
                <w:sz w:val="20"/>
                <w:szCs w:val="20"/>
              </w:rPr>
            </w:pPr>
            <w:r w:rsidRPr="007A04BF">
              <w:rPr>
                <w:rFonts w:ascii="Calibri" w:eastAsia="Times New Roman" w:hAnsi="Calibri" w:cs="Arial"/>
                <w:sz w:val="20"/>
                <w:szCs w:val="20"/>
              </w:rPr>
              <w:t>Admin  9</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1F091993" w14:textId="3954F0E3"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13,869,065</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3B26E635" w14:textId="373BCBCC"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14,876,092</w:t>
            </w:r>
          </w:p>
        </w:tc>
        <w:tc>
          <w:tcPr>
            <w:tcW w:w="1236" w:type="dxa"/>
            <w:tcBorders>
              <w:top w:val="single" w:sz="4" w:space="0" w:color="BFBFBF" w:themeColor="background1" w:themeShade="BF"/>
              <w:bottom w:val="single" w:sz="4" w:space="0" w:color="BFBFBF" w:themeColor="background1" w:themeShade="BF"/>
            </w:tcBorders>
            <w:shd w:val="clear" w:color="auto" w:fill="auto"/>
          </w:tcPr>
          <w:p w14:paraId="5E5A55DF" w14:textId="605A8419"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15,358,843</w:t>
            </w:r>
          </w:p>
        </w:tc>
        <w:tc>
          <w:tcPr>
            <w:tcW w:w="1716" w:type="dxa"/>
            <w:gridSpan w:val="2"/>
            <w:tcBorders>
              <w:top w:val="single" w:sz="4" w:space="0" w:color="BFBFBF" w:themeColor="background1" w:themeShade="BF"/>
              <w:bottom w:val="single" w:sz="4" w:space="0" w:color="BFBFBF" w:themeColor="background1" w:themeShade="BF"/>
            </w:tcBorders>
            <w:shd w:val="clear" w:color="auto" w:fill="auto"/>
            <w:noWrap/>
          </w:tcPr>
          <w:p w14:paraId="4A9D24F4" w14:textId="61327E87"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 xml:space="preserve"> 18,325,151   </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099F6F6C" w14:textId="0AA1A7B8"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 xml:space="preserve">19,858,577   </w:t>
            </w:r>
          </w:p>
        </w:tc>
      </w:tr>
      <w:tr w:rsidR="00584187" w:rsidRPr="007A04BF" w14:paraId="4AE3AA6A" w14:textId="77777777" w:rsidTr="001C42F5">
        <w:trPr>
          <w:trHeight w:val="270"/>
        </w:trPr>
        <w:tc>
          <w:tcPr>
            <w:tcW w:w="378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3EB866D"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0D90D340" w14:textId="7CEF1291"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7.6%</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0804F4F4" w14:textId="23226C2D"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8.3%</w:t>
            </w:r>
          </w:p>
        </w:tc>
        <w:tc>
          <w:tcPr>
            <w:tcW w:w="1236" w:type="dxa"/>
            <w:tcBorders>
              <w:top w:val="single" w:sz="4" w:space="0" w:color="BFBFBF" w:themeColor="background1" w:themeShade="BF"/>
              <w:bottom w:val="single" w:sz="4" w:space="0" w:color="BFBFBF" w:themeColor="background1" w:themeShade="BF"/>
            </w:tcBorders>
            <w:shd w:val="clear" w:color="auto" w:fill="auto"/>
          </w:tcPr>
          <w:p w14:paraId="4135D8AE" w14:textId="6A99A8BB"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8.1%</w:t>
            </w:r>
          </w:p>
        </w:tc>
        <w:tc>
          <w:tcPr>
            <w:tcW w:w="1716" w:type="dxa"/>
            <w:gridSpan w:val="2"/>
            <w:tcBorders>
              <w:top w:val="single" w:sz="4" w:space="0" w:color="BFBFBF" w:themeColor="background1" w:themeShade="BF"/>
              <w:bottom w:val="single" w:sz="4" w:space="0" w:color="BFBFBF" w:themeColor="background1" w:themeShade="BF"/>
            </w:tcBorders>
            <w:shd w:val="clear" w:color="auto" w:fill="auto"/>
            <w:noWrap/>
          </w:tcPr>
          <w:p w14:paraId="49C67336" w14:textId="0B172B90" w:rsidR="00584187" w:rsidRPr="007A04BF" w:rsidRDefault="00584187" w:rsidP="00584187">
            <w:pPr>
              <w:keepNext/>
              <w:keepLines/>
              <w:jc w:val="center"/>
              <w:rPr>
                <w:rFonts w:ascii="Calibri" w:eastAsia="Times New Roman" w:hAnsi="Calibri" w:cs="Arial"/>
                <w:sz w:val="20"/>
                <w:szCs w:val="20"/>
              </w:rPr>
            </w:pPr>
            <w:r w:rsidRPr="007A04BF">
              <w:rPr>
                <w:rFonts w:ascii="Calibri" w:hAnsi="Calibri"/>
                <w:sz w:val="20"/>
                <w:szCs w:val="20"/>
              </w:rPr>
              <w:t>8.1%</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5D3EBCF3" w14:textId="5BFDCEFB" w:rsidR="00584187" w:rsidRPr="007A04BF" w:rsidRDefault="00694D00" w:rsidP="00584187">
            <w:pPr>
              <w:keepNext/>
              <w:keepLines/>
              <w:jc w:val="center"/>
              <w:rPr>
                <w:rFonts w:ascii="Calibri" w:eastAsia="Times New Roman" w:hAnsi="Calibri" w:cs="Arial"/>
                <w:sz w:val="20"/>
                <w:szCs w:val="20"/>
              </w:rPr>
            </w:pPr>
            <w:r w:rsidRPr="00694D00">
              <w:rPr>
                <w:rFonts w:ascii="Calibri" w:eastAsia="Times New Roman" w:hAnsi="Calibri" w:cs="Arial"/>
                <w:sz w:val="20"/>
                <w:szCs w:val="20"/>
              </w:rPr>
              <w:t>9.3%</w:t>
            </w:r>
          </w:p>
        </w:tc>
      </w:tr>
      <w:tr w:rsidR="00584187" w:rsidRPr="007A04BF" w14:paraId="02DEAA15" w14:textId="77777777" w:rsidTr="001C42F5">
        <w:trPr>
          <w:trHeight w:val="270"/>
        </w:trPr>
        <w:tc>
          <w:tcPr>
            <w:tcW w:w="378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1B0D932E" w14:textId="77777777" w:rsidR="00584187" w:rsidRPr="007A04BF" w:rsidRDefault="00584187" w:rsidP="00584187">
            <w:pPr>
              <w:keepNext/>
              <w:keepLines/>
              <w:rPr>
                <w:rFonts w:ascii="Calibri" w:eastAsia="Times New Roman" w:hAnsi="Calibri" w:cs="Arial"/>
                <w:sz w:val="20"/>
                <w:szCs w:val="20"/>
              </w:rPr>
            </w:pPr>
            <w:r w:rsidRPr="007A04BF">
              <w:rPr>
                <w:rFonts w:ascii="Calibri" w:eastAsia="Times New Roman" w:hAnsi="Calibri" w:cs="Arial"/>
                <w:sz w:val="20"/>
                <w:szCs w:val="20"/>
              </w:rPr>
              <w:t>District  Office</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72D40A0C" w14:textId="73BC522C" w:rsidR="00584187" w:rsidRPr="007A04BF" w:rsidRDefault="00584187" w:rsidP="00584187">
            <w:pPr>
              <w:keepNext/>
              <w:keepLines/>
              <w:jc w:val="center"/>
              <w:rPr>
                <w:rFonts w:ascii="Calibri" w:hAnsi="Calibri"/>
                <w:sz w:val="20"/>
                <w:szCs w:val="20"/>
              </w:rPr>
            </w:pPr>
            <w:r w:rsidRPr="007A04BF">
              <w:rPr>
                <w:rFonts w:ascii="Calibri" w:hAnsi="Calibri"/>
                <w:sz w:val="20"/>
                <w:szCs w:val="20"/>
              </w:rPr>
              <w:t>10,380,014</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4B92735B" w14:textId="6B294B39" w:rsidR="00584187" w:rsidRPr="007A04BF" w:rsidRDefault="00584187" w:rsidP="00584187">
            <w:pPr>
              <w:keepNext/>
              <w:keepLines/>
              <w:jc w:val="center"/>
              <w:rPr>
                <w:rFonts w:ascii="Calibri" w:hAnsi="Calibri"/>
                <w:sz w:val="20"/>
                <w:szCs w:val="20"/>
              </w:rPr>
            </w:pPr>
            <w:r w:rsidRPr="007A04BF">
              <w:rPr>
                <w:rFonts w:ascii="Calibri" w:hAnsi="Calibri"/>
                <w:sz w:val="20"/>
                <w:szCs w:val="20"/>
              </w:rPr>
              <w:t>16,295,794</w:t>
            </w:r>
          </w:p>
        </w:tc>
        <w:tc>
          <w:tcPr>
            <w:tcW w:w="1236" w:type="dxa"/>
            <w:tcBorders>
              <w:top w:val="single" w:sz="4" w:space="0" w:color="BFBFBF" w:themeColor="background1" w:themeShade="BF"/>
              <w:bottom w:val="single" w:sz="4" w:space="0" w:color="BFBFBF" w:themeColor="background1" w:themeShade="BF"/>
            </w:tcBorders>
            <w:shd w:val="clear" w:color="auto" w:fill="auto"/>
          </w:tcPr>
          <w:p w14:paraId="4C6053C8" w14:textId="35E88865" w:rsidR="00584187" w:rsidRPr="007A04BF" w:rsidRDefault="00584187" w:rsidP="00584187">
            <w:pPr>
              <w:keepNext/>
              <w:keepLines/>
              <w:jc w:val="center"/>
              <w:rPr>
                <w:rFonts w:ascii="Calibri" w:hAnsi="Calibri"/>
                <w:sz w:val="20"/>
                <w:szCs w:val="20"/>
              </w:rPr>
            </w:pPr>
            <w:r w:rsidRPr="007A04BF">
              <w:rPr>
                <w:rFonts w:ascii="Calibri" w:hAnsi="Calibri"/>
                <w:sz w:val="20"/>
                <w:szCs w:val="20"/>
              </w:rPr>
              <w:t>17,325,390</w:t>
            </w:r>
          </w:p>
        </w:tc>
        <w:tc>
          <w:tcPr>
            <w:tcW w:w="1716" w:type="dxa"/>
            <w:gridSpan w:val="2"/>
            <w:tcBorders>
              <w:top w:val="single" w:sz="4" w:space="0" w:color="BFBFBF" w:themeColor="background1" w:themeShade="BF"/>
              <w:bottom w:val="single" w:sz="4" w:space="0" w:color="BFBFBF" w:themeColor="background1" w:themeShade="BF"/>
            </w:tcBorders>
            <w:shd w:val="clear" w:color="auto" w:fill="auto"/>
            <w:noWrap/>
          </w:tcPr>
          <w:p w14:paraId="267B04D0" w14:textId="11DFBBE7" w:rsidR="00584187" w:rsidRPr="007A04BF" w:rsidRDefault="00584187" w:rsidP="00584187">
            <w:pPr>
              <w:keepNext/>
              <w:keepLines/>
              <w:jc w:val="center"/>
              <w:rPr>
                <w:rFonts w:ascii="Calibri" w:hAnsi="Calibri"/>
                <w:sz w:val="20"/>
                <w:szCs w:val="20"/>
              </w:rPr>
            </w:pPr>
            <w:r w:rsidRPr="007A04BF">
              <w:rPr>
                <w:rFonts w:ascii="Calibri" w:hAnsi="Calibri"/>
                <w:sz w:val="20"/>
                <w:szCs w:val="20"/>
              </w:rPr>
              <w:t xml:space="preserve"> 18,252,809   </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58745B47" w14:textId="758BF90A" w:rsidR="00584187" w:rsidRPr="007A04BF" w:rsidRDefault="00694D00" w:rsidP="00584187">
            <w:pPr>
              <w:keepNext/>
              <w:keepLines/>
              <w:jc w:val="center"/>
              <w:rPr>
                <w:rFonts w:ascii="Calibri" w:hAnsi="Calibri"/>
                <w:sz w:val="20"/>
                <w:szCs w:val="20"/>
              </w:rPr>
            </w:pPr>
            <w:r w:rsidRPr="00694D00">
              <w:rPr>
                <w:rFonts w:ascii="Calibri" w:hAnsi="Calibri"/>
                <w:sz w:val="20"/>
                <w:szCs w:val="20"/>
              </w:rPr>
              <w:t xml:space="preserve">18,463,817   </w:t>
            </w:r>
          </w:p>
        </w:tc>
      </w:tr>
      <w:tr w:rsidR="00584187" w:rsidRPr="007A04BF" w14:paraId="348A71C2" w14:textId="77777777" w:rsidTr="001C42F5">
        <w:trPr>
          <w:trHeight w:val="270"/>
        </w:trPr>
        <w:tc>
          <w:tcPr>
            <w:tcW w:w="378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32FA1B3"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455B211A" w14:textId="3DAC019D" w:rsidR="00584187" w:rsidRPr="007A04BF" w:rsidRDefault="00584187" w:rsidP="00584187">
            <w:pPr>
              <w:keepNext/>
              <w:keepLines/>
              <w:jc w:val="center"/>
              <w:rPr>
                <w:rFonts w:ascii="Calibri" w:hAnsi="Calibri"/>
                <w:sz w:val="20"/>
                <w:szCs w:val="20"/>
              </w:rPr>
            </w:pPr>
            <w:r w:rsidRPr="007A04BF">
              <w:rPr>
                <w:rFonts w:ascii="Calibri" w:hAnsi="Calibri"/>
                <w:sz w:val="20"/>
                <w:szCs w:val="20"/>
              </w:rPr>
              <w:t>5.7%</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5411C174" w14:textId="020DD2FA" w:rsidR="00584187" w:rsidRPr="007A04BF" w:rsidRDefault="00584187" w:rsidP="00584187">
            <w:pPr>
              <w:keepNext/>
              <w:keepLines/>
              <w:jc w:val="center"/>
              <w:rPr>
                <w:rFonts w:ascii="Calibri" w:hAnsi="Calibri"/>
                <w:sz w:val="20"/>
                <w:szCs w:val="20"/>
              </w:rPr>
            </w:pPr>
            <w:r w:rsidRPr="007A04BF">
              <w:rPr>
                <w:rFonts w:ascii="Calibri" w:hAnsi="Calibri"/>
                <w:sz w:val="20"/>
                <w:szCs w:val="20"/>
              </w:rPr>
              <w:t>9.1%</w:t>
            </w:r>
          </w:p>
        </w:tc>
        <w:tc>
          <w:tcPr>
            <w:tcW w:w="1236" w:type="dxa"/>
            <w:tcBorders>
              <w:top w:val="single" w:sz="4" w:space="0" w:color="BFBFBF" w:themeColor="background1" w:themeShade="BF"/>
              <w:bottom w:val="single" w:sz="4" w:space="0" w:color="BFBFBF" w:themeColor="background1" w:themeShade="BF"/>
            </w:tcBorders>
            <w:shd w:val="clear" w:color="auto" w:fill="auto"/>
          </w:tcPr>
          <w:p w14:paraId="48376545" w14:textId="6F4BA3F1" w:rsidR="00584187" w:rsidRPr="007A04BF" w:rsidRDefault="00584187" w:rsidP="00584187">
            <w:pPr>
              <w:keepNext/>
              <w:keepLines/>
              <w:jc w:val="center"/>
              <w:rPr>
                <w:rFonts w:ascii="Calibri" w:hAnsi="Calibri"/>
                <w:sz w:val="20"/>
                <w:szCs w:val="20"/>
              </w:rPr>
            </w:pPr>
            <w:r w:rsidRPr="007A04BF">
              <w:rPr>
                <w:rFonts w:ascii="Calibri" w:hAnsi="Calibri"/>
                <w:sz w:val="20"/>
                <w:szCs w:val="20"/>
              </w:rPr>
              <w:t>9.1%</w:t>
            </w:r>
          </w:p>
        </w:tc>
        <w:tc>
          <w:tcPr>
            <w:tcW w:w="1716" w:type="dxa"/>
            <w:gridSpan w:val="2"/>
            <w:tcBorders>
              <w:top w:val="single" w:sz="4" w:space="0" w:color="BFBFBF" w:themeColor="background1" w:themeShade="BF"/>
              <w:bottom w:val="single" w:sz="4" w:space="0" w:color="BFBFBF" w:themeColor="background1" w:themeShade="BF"/>
            </w:tcBorders>
            <w:shd w:val="clear" w:color="auto" w:fill="auto"/>
            <w:noWrap/>
          </w:tcPr>
          <w:p w14:paraId="1034D1A6" w14:textId="1C400AEA" w:rsidR="00584187" w:rsidRPr="007A04BF" w:rsidRDefault="00584187" w:rsidP="00584187">
            <w:pPr>
              <w:keepNext/>
              <w:keepLines/>
              <w:jc w:val="center"/>
              <w:rPr>
                <w:rFonts w:ascii="Calibri" w:hAnsi="Calibri"/>
                <w:sz w:val="20"/>
                <w:szCs w:val="20"/>
              </w:rPr>
            </w:pPr>
            <w:r w:rsidRPr="007A04BF">
              <w:rPr>
                <w:rFonts w:ascii="Calibri" w:hAnsi="Calibri"/>
                <w:sz w:val="20"/>
                <w:szCs w:val="20"/>
              </w:rPr>
              <w:t>8.1%</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555B8F04" w14:textId="181834E5" w:rsidR="00584187" w:rsidRPr="007A04BF" w:rsidRDefault="00694D00" w:rsidP="00584187">
            <w:pPr>
              <w:keepNext/>
              <w:keepLines/>
              <w:jc w:val="center"/>
              <w:rPr>
                <w:rFonts w:ascii="Calibri" w:hAnsi="Calibri"/>
                <w:sz w:val="20"/>
                <w:szCs w:val="20"/>
              </w:rPr>
            </w:pPr>
            <w:r w:rsidRPr="00694D00">
              <w:rPr>
                <w:rFonts w:ascii="Calibri" w:hAnsi="Calibri"/>
                <w:sz w:val="20"/>
                <w:szCs w:val="20"/>
              </w:rPr>
              <w:t>8.7%</w:t>
            </w:r>
          </w:p>
        </w:tc>
      </w:tr>
      <w:tr w:rsidR="00584187" w:rsidRPr="007A04BF" w14:paraId="67066012" w14:textId="77777777" w:rsidTr="002927CF">
        <w:trPr>
          <w:trHeight w:val="270"/>
        </w:trPr>
        <w:tc>
          <w:tcPr>
            <w:tcW w:w="3780" w:type="dxa"/>
            <w:tcBorders>
              <w:top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14:paraId="3E3AE922"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District-wide (DW)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750E8607" w14:textId="02322712" w:rsidR="00584187" w:rsidRPr="007A04BF" w:rsidRDefault="00584187" w:rsidP="00584187">
            <w:pPr>
              <w:keepNext/>
              <w:keepLines/>
              <w:jc w:val="center"/>
              <w:rPr>
                <w:rFonts w:ascii="Calibri" w:hAnsi="Calibri"/>
                <w:sz w:val="20"/>
                <w:szCs w:val="20"/>
              </w:rPr>
            </w:pPr>
            <w:r w:rsidRPr="007A04BF">
              <w:rPr>
                <w:rFonts w:ascii="Calibri" w:hAnsi="Calibri"/>
                <w:sz w:val="20"/>
                <w:szCs w:val="20"/>
              </w:rPr>
              <w:t>150,345,408</w:t>
            </w:r>
          </w:p>
        </w:tc>
        <w:tc>
          <w:tcPr>
            <w:tcW w:w="1350"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4938C217" w14:textId="1259B39B" w:rsidR="00584187" w:rsidRPr="007A04BF" w:rsidRDefault="00584187" w:rsidP="00584187">
            <w:pPr>
              <w:keepNext/>
              <w:keepLines/>
              <w:jc w:val="center"/>
              <w:rPr>
                <w:rFonts w:ascii="Calibri" w:hAnsi="Calibri"/>
                <w:sz w:val="20"/>
                <w:szCs w:val="20"/>
              </w:rPr>
            </w:pPr>
            <w:r w:rsidRPr="007A04BF">
              <w:rPr>
                <w:rFonts w:ascii="Calibri" w:hAnsi="Calibri"/>
                <w:sz w:val="20"/>
                <w:szCs w:val="20"/>
              </w:rPr>
              <w:t>154,430,783</w:t>
            </w:r>
          </w:p>
        </w:tc>
        <w:tc>
          <w:tcPr>
            <w:tcW w:w="1236"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bottom"/>
          </w:tcPr>
          <w:p w14:paraId="217AB676" w14:textId="79FDA012" w:rsidR="00584187" w:rsidRPr="007A04BF" w:rsidRDefault="00584187" w:rsidP="00584187">
            <w:pPr>
              <w:keepNext/>
              <w:keepLines/>
              <w:jc w:val="center"/>
              <w:rPr>
                <w:rFonts w:ascii="Calibri" w:hAnsi="Calibri"/>
                <w:sz w:val="20"/>
                <w:szCs w:val="20"/>
              </w:rPr>
            </w:pPr>
            <w:r w:rsidRPr="007A04BF">
              <w:rPr>
                <w:rFonts w:ascii="Calibri" w:hAnsi="Calibri"/>
                <w:sz w:val="20"/>
                <w:szCs w:val="20"/>
              </w:rPr>
              <w:t>165,441,633</w:t>
            </w:r>
          </w:p>
        </w:tc>
        <w:tc>
          <w:tcPr>
            <w:tcW w:w="1716" w:type="dxa"/>
            <w:gridSpan w:val="2"/>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7BB698FE" w14:textId="285579C2" w:rsidR="00584187" w:rsidRPr="007A04BF" w:rsidRDefault="00584187" w:rsidP="00584187">
            <w:pPr>
              <w:keepNext/>
              <w:keepLines/>
              <w:jc w:val="center"/>
              <w:rPr>
                <w:rFonts w:ascii="Calibri" w:hAnsi="Calibri"/>
                <w:sz w:val="20"/>
                <w:szCs w:val="20"/>
              </w:rPr>
            </w:pPr>
            <w:r w:rsidRPr="007A04BF">
              <w:rPr>
                <w:rFonts w:ascii="Calibri" w:hAnsi="Calibri"/>
                <w:sz w:val="20"/>
                <w:szCs w:val="20"/>
              </w:rPr>
              <w:t>175,302,417</w:t>
            </w:r>
          </w:p>
        </w:tc>
        <w:tc>
          <w:tcPr>
            <w:tcW w:w="1260"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27183718" w14:textId="1F38C00E" w:rsidR="00584187" w:rsidRPr="007A04BF" w:rsidRDefault="00694D00" w:rsidP="00584187">
            <w:pPr>
              <w:keepNext/>
              <w:keepLines/>
              <w:jc w:val="center"/>
              <w:rPr>
                <w:rFonts w:ascii="Calibri" w:hAnsi="Calibri"/>
                <w:sz w:val="20"/>
                <w:szCs w:val="20"/>
              </w:rPr>
            </w:pPr>
            <w:r w:rsidRPr="00694D00">
              <w:rPr>
                <w:rFonts w:ascii="Calibri" w:hAnsi="Calibri"/>
                <w:sz w:val="20"/>
                <w:szCs w:val="20"/>
              </w:rPr>
              <w:t xml:space="preserve">184,876,540   </w:t>
            </w:r>
          </w:p>
        </w:tc>
      </w:tr>
      <w:tr w:rsidR="00584187" w:rsidRPr="007A04BF" w14:paraId="3AADDC8D" w14:textId="77777777" w:rsidTr="001C42F5">
        <w:trPr>
          <w:trHeight w:val="270"/>
        </w:trPr>
        <w:tc>
          <w:tcPr>
            <w:tcW w:w="3780" w:type="dxa"/>
            <w:tcBorders>
              <w:right w:val="single" w:sz="4" w:space="0" w:color="BFBFBF" w:themeColor="background1" w:themeShade="BF"/>
            </w:tcBorders>
            <w:shd w:val="clear" w:color="auto" w:fill="D9D9D9" w:themeFill="background1" w:themeFillShade="D9"/>
            <w:noWrap/>
            <w:vAlign w:val="center"/>
          </w:tcPr>
          <w:p w14:paraId="7AA06FE5"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tcPr>
          <w:p w14:paraId="77F1B0D4" w14:textId="3E2E9936" w:rsidR="00584187" w:rsidRPr="007A04BF" w:rsidRDefault="00584187" w:rsidP="00584187">
            <w:pPr>
              <w:keepNext/>
              <w:keepLines/>
              <w:jc w:val="center"/>
              <w:rPr>
                <w:rFonts w:ascii="Calibri" w:hAnsi="Calibri"/>
                <w:sz w:val="20"/>
                <w:szCs w:val="20"/>
              </w:rPr>
            </w:pPr>
            <w:r w:rsidRPr="007A04BF">
              <w:rPr>
                <w:rFonts w:ascii="Calibri" w:hAnsi="Calibri"/>
                <w:sz w:val="20"/>
                <w:szCs w:val="20"/>
              </w:rPr>
              <w:t>82.8%</w:t>
            </w:r>
          </w:p>
        </w:tc>
        <w:tc>
          <w:tcPr>
            <w:tcW w:w="1350"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0E19B2F9" w14:textId="6D758EE6" w:rsidR="00584187" w:rsidRPr="007A04BF" w:rsidRDefault="00584187" w:rsidP="00584187">
            <w:pPr>
              <w:keepNext/>
              <w:keepLines/>
              <w:jc w:val="center"/>
              <w:rPr>
                <w:rFonts w:ascii="Calibri" w:hAnsi="Calibri"/>
                <w:sz w:val="20"/>
                <w:szCs w:val="20"/>
              </w:rPr>
            </w:pPr>
            <w:r w:rsidRPr="007A04BF">
              <w:rPr>
                <w:rFonts w:ascii="Calibri" w:hAnsi="Calibri"/>
                <w:sz w:val="20"/>
                <w:szCs w:val="20"/>
              </w:rPr>
              <w:t>86.2%</w:t>
            </w:r>
          </w:p>
        </w:tc>
        <w:tc>
          <w:tcPr>
            <w:tcW w:w="1236"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AF3BAF9" w14:textId="31C1F96B" w:rsidR="00584187" w:rsidRPr="007A04BF" w:rsidRDefault="00584187" w:rsidP="00584187">
            <w:pPr>
              <w:keepNext/>
              <w:keepLines/>
              <w:jc w:val="center"/>
              <w:rPr>
                <w:rFonts w:ascii="Calibri" w:hAnsi="Calibri"/>
                <w:sz w:val="20"/>
                <w:szCs w:val="20"/>
              </w:rPr>
            </w:pPr>
            <w:r w:rsidRPr="007A04BF">
              <w:rPr>
                <w:rFonts w:ascii="Calibri" w:hAnsi="Calibri"/>
                <w:sz w:val="20"/>
                <w:szCs w:val="20"/>
              </w:rPr>
              <w:t>86.8%</w:t>
            </w:r>
          </w:p>
        </w:tc>
        <w:tc>
          <w:tcPr>
            <w:tcW w:w="1716" w:type="dxa"/>
            <w:gridSpan w:val="2"/>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4358A4FE" w14:textId="48F52E14" w:rsidR="00584187" w:rsidRPr="007A04BF" w:rsidRDefault="00584187" w:rsidP="00584187">
            <w:pPr>
              <w:keepNext/>
              <w:keepLines/>
              <w:jc w:val="center"/>
              <w:rPr>
                <w:rFonts w:ascii="Calibri" w:hAnsi="Calibri"/>
                <w:sz w:val="20"/>
                <w:szCs w:val="20"/>
              </w:rPr>
            </w:pPr>
            <w:r w:rsidRPr="007A04BF">
              <w:rPr>
                <w:rFonts w:ascii="Calibri" w:hAnsi="Calibri"/>
                <w:sz w:val="20"/>
                <w:szCs w:val="20"/>
              </w:rPr>
              <w:t>77.8%</w:t>
            </w:r>
          </w:p>
        </w:tc>
        <w:tc>
          <w:tcPr>
            <w:tcW w:w="1260"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3ABE8981" w14:textId="1434ED6D" w:rsidR="00584187" w:rsidRPr="007A04BF" w:rsidRDefault="00694D00" w:rsidP="00584187">
            <w:pPr>
              <w:keepNext/>
              <w:keepLines/>
              <w:jc w:val="center"/>
              <w:rPr>
                <w:rFonts w:ascii="Calibri" w:hAnsi="Calibri"/>
                <w:sz w:val="20"/>
                <w:szCs w:val="20"/>
              </w:rPr>
            </w:pPr>
            <w:r w:rsidRPr="00694D00">
              <w:rPr>
                <w:rFonts w:ascii="Calibri" w:hAnsi="Calibri"/>
                <w:sz w:val="20"/>
                <w:szCs w:val="20"/>
              </w:rPr>
              <w:t>87.0%</w:t>
            </w:r>
          </w:p>
        </w:tc>
      </w:tr>
      <w:tr w:rsidR="00584187" w:rsidRPr="007A04BF" w14:paraId="6C7DFDEE" w14:textId="77777777" w:rsidTr="001C42F5">
        <w:trPr>
          <w:trHeight w:val="270"/>
        </w:trPr>
        <w:tc>
          <w:tcPr>
            <w:tcW w:w="3780" w:type="dxa"/>
            <w:tcBorders>
              <w:bottom w:val="single" w:sz="4" w:space="0" w:color="BFBFBF" w:themeColor="background1" w:themeShade="BF"/>
              <w:right w:val="single" w:sz="4" w:space="0" w:color="BFBFBF" w:themeColor="background1" w:themeShade="BF"/>
            </w:tcBorders>
            <w:shd w:val="clear" w:color="auto" w:fill="auto"/>
            <w:noWrap/>
            <w:vAlign w:val="center"/>
          </w:tcPr>
          <w:p w14:paraId="3AF2DA06" w14:textId="77777777" w:rsidR="00584187" w:rsidRPr="007A04BF" w:rsidRDefault="00584187" w:rsidP="00584187">
            <w:pPr>
              <w:keepNext/>
              <w:keepLines/>
              <w:jc w:val="right"/>
              <w:rPr>
                <w:rFonts w:ascii="Calibri" w:eastAsia="Times New Roman" w:hAnsi="Calibri" w:cs="Arial"/>
                <w:sz w:val="20"/>
                <w:szCs w:val="20"/>
              </w:rPr>
            </w:pPr>
            <w:r w:rsidRPr="007A04BF">
              <w:rPr>
                <w:rFonts w:ascii="Calibri" w:eastAsia="Times New Roman" w:hAnsi="Calibri" w:cs="Arial"/>
                <w:sz w:val="20"/>
                <w:szCs w:val="20"/>
              </w:rPr>
              <w:t xml:space="preserve">Unrestricted GF Revenues Total </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11A2F8FD" w14:textId="6585E73D" w:rsidR="00584187" w:rsidRPr="007A04BF" w:rsidRDefault="00584187" w:rsidP="00584187">
            <w:pPr>
              <w:keepNext/>
              <w:keepLines/>
              <w:jc w:val="center"/>
              <w:rPr>
                <w:rFonts w:ascii="Calibri" w:hAnsi="Calibri"/>
                <w:sz w:val="20"/>
                <w:szCs w:val="20"/>
              </w:rPr>
            </w:pPr>
            <w:r w:rsidRPr="007A04BF">
              <w:rPr>
                <w:rFonts w:ascii="Calibri" w:hAnsi="Calibri"/>
                <w:sz w:val="20"/>
                <w:szCs w:val="20"/>
              </w:rPr>
              <w:t>181,509,921</w:t>
            </w:r>
          </w:p>
        </w:tc>
        <w:tc>
          <w:tcPr>
            <w:tcW w:w="1350" w:type="dxa"/>
            <w:tcBorders>
              <w:top w:val="single" w:sz="4" w:space="0" w:color="BFBFBF" w:themeColor="background1" w:themeShade="BF"/>
              <w:bottom w:val="single" w:sz="4" w:space="0" w:color="BFBFBF" w:themeColor="background1" w:themeShade="BF"/>
            </w:tcBorders>
            <w:shd w:val="clear" w:color="auto" w:fill="auto"/>
            <w:noWrap/>
          </w:tcPr>
          <w:p w14:paraId="3436CF76" w14:textId="259006E8" w:rsidR="00584187" w:rsidRPr="007A04BF" w:rsidRDefault="00584187" w:rsidP="00584187">
            <w:pPr>
              <w:keepNext/>
              <w:keepLines/>
              <w:jc w:val="center"/>
              <w:rPr>
                <w:rFonts w:ascii="Calibri" w:hAnsi="Calibri"/>
                <w:sz w:val="20"/>
                <w:szCs w:val="20"/>
              </w:rPr>
            </w:pPr>
            <w:r w:rsidRPr="007A04BF">
              <w:rPr>
                <w:rFonts w:ascii="Calibri" w:hAnsi="Calibri"/>
                <w:sz w:val="20"/>
                <w:szCs w:val="20"/>
              </w:rPr>
              <w:t>179,074,786</w:t>
            </w:r>
          </w:p>
        </w:tc>
        <w:tc>
          <w:tcPr>
            <w:tcW w:w="1236" w:type="dxa"/>
            <w:tcBorders>
              <w:top w:val="single" w:sz="4" w:space="0" w:color="BFBFBF" w:themeColor="background1" w:themeShade="BF"/>
              <w:bottom w:val="single" w:sz="4" w:space="0" w:color="BFBFBF" w:themeColor="background1" w:themeShade="BF"/>
            </w:tcBorders>
            <w:shd w:val="clear" w:color="auto" w:fill="auto"/>
          </w:tcPr>
          <w:p w14:paraId="35C1BBA2" w14:textId="56EA8EBD" w:rsidR="00584187" w:rsidRPr="007A04BF" w:rsidRDefault="00584187" w:rsidP="00584187">
            <w:pPr>
              <w:keepNext/>
              <w:keepLines/>
              <w:jc w:val="center"/>
              <w:rPr>
                <w:rFonts w:ascii="Calibri" w:hAnsi="Calibri"/>
                <w:sz w:val="20"/>
                <w:szCs w:val="20"/>
              </w:rPr>
            </w:pPr>
            <w:r w:rsidRPr="007A04BF">
              <w:rPr>
                <w:rFonts w:ascii="Calibri" w:hAnsi="Calibri"/>
                <w:sz w:val="20"/>
                <w:szCs w:val="20"/>
              </w:rPr>
              <w:t>190,597,934</w:t>
            </w:r>
          </w:p>
        </w:tc>
        <w:tc>
          <w:tcPr>
            <w:tcW w:w="1716" w:type="dxa"/>
            <w:gridSpan w:val="2"/>
            <w:tcBorders>
              <w:top w:val="single" w:sz="4" w:space="0" w:color="BFBFBF" w:themeColor="background1" w:themeShade="BF"/>
              <w:bottom w:val="single" w:sz="4" w:space="0" w:color="BFBFBF" w:themeColor="background1" w:themeShade="BF"/>
            </w:tcBorders>
            <w:shd w:val="clear" w:color="auto" w:fill="auto"/>
            <w:noWrap/>
          </w:tcPr>
          <w:p w14:paraId="6448008E" w14:textId="7118149C" w:rsidR="00584187" w:rsidRPr="007A04BF" w:rsidRDefault="00584187" w:rsidP="00584187">
            <w:pPr>
              <w:keepNext/>
              <w:keepLines/>
              <w:jc w:val="center"/>
              <w:rPr>
                <w:rFonts w:ascii="Calibri" w:hAnsi="Calibri"/>
                <w:sz w:val="20"/>
                <w:szCs w:val="20"/>
              </w:rPr>
            </w:pPr>
            <w:r w:rsidRPr="007A04BF">
              <w:rPr>
                <w:rFonts w:ascii="Calibri" w:hAnsi="Calibri"/>
                <w:sz w:val="20"/>
                <w:szCs w:val="20"/>
              </w:rPr>
              <w:t xml:space="preserve">225,415,360   </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394A2519" w14:textId="08DE0C25" w:rsidR="00584187" w:rsidRPr="007A04BF" w:rsidRDefault="00694D00" w:rsidP="00694D00">
            <w:pPr>
              <w:keepNext/>
              <w:keepLines/>
              <w:jc w:val="center"/>
              <w:rPr>
                <w:rFonts w:ascii="Calibri" w:hAnsi="Calibri"/>
                <w:sz w:val="20"/>
                <w:szCs w:val="20"/>
              </w:rPr>
            </w:pPr>
            <w:r>
              <w:rPr>
                <w:rFonts w:ascii="Calibri" w:hAnsi="Calibri"/>
                <w:sz w:val="20"/>
                <w:szCs w:val="20"/>
              </w:rPr>
              <w:t>212,474,942</w:t>
            </w:r>
          </w:p>
        </w:tc>
      </w:tr>
    </w:tbl>
    <w:p w14:paraId="38838919" w14:textId="77777777" w:rsidR="002A30E5" w:rsidRPr="007A04BF" w:rsidRDefault="002A30E5" w:rsidP="002A30E5">
      <w:pPr>
        <w:keepNext/>
        <w:keepLines/>
        <w:autoSpaceDE w:val="0"/>
        <w:autoSpaceDN w:val="0"/>
        <w:adjustRightInd w:val="0"/>
        <w:rPr>
          <w:bCs/>
          <w:sz w:val="16"/>
          <w:szCs w:val="16"/>
        </w:rPr>
      </w:pPr>
      <w:r w:rsidRPr="007A04BF">
        <w:rPr>
          <w:bCs/>
          <w:sz w:val="16"/>
          <w:szCs w:val="16"/>
        </w:rPr>
        <w:t>Source: Fiscal Executive Summary Cube</w:t>
      </w:r>
    </w:p>
    <w:p w14:paraId="292F64D1" w14:textId="77777777" w:rsidR="002A30E5" w:rsidRPr="00B9364B" w:rsidRDefault="002A30E5" w:rsidP="002A30E5">
      <w:pPr>
        <w:autoSpaceDE w:val="0"/>
        <w:autoSpaceDN w:val="0"/>
        <w:adjustRightInd w:val="0"/>
        <w:rPr>
          <w:bCs/>
          <w:color w:val="FF0000"/>
          <w:sz w:val="20"/>
          <w:szCs w:val="20"/>
        </w:rPr>
      </w:pPr>
    </w:p>
    <w:p w14:paraId="1A3B6C83" w14:textId="77777777" w:rsidR="002A30E5" w:rsidRPr="00BE4539" w:rsidRDefault="002A30E5" w:rsidP="002A30E5">
      <w:pPr>
        <w:pStyle w:val="Heading2"/>
        <w:spacing w:before="0"/>
        <w:rPr>
          <w:color w:val="auto"/>
        </w:rPr>
      </w:pPr>
      <w:bookmarkStart w:id="133" w:name="_Toc288801622"/>
      <w:bookmarkStart w:id="134" w:name="_Toc341183261"/>
      <w:bookmarkStart w:id="135" w:name="_Toc506217440"/>
      <w:r w:rsidRPr="00BE4539">
        <w:rPr>
          <w:color w:val="auto"/>
        </w:rPr>
        <w:t>Unrestricted General Fund: Fixed Costs</w:t>
      </w:r>
      <w:bookmarkEnd w:id="133"/>
      <w:bookmarkEnd w:id="134"/>
      <w:bookmarkEnd w:id="135"/>
      <w:r w:rsidRPr="00BE4539">
        <w:rPr>
          <w:color w:val="auto"/>
        </w:rPr>
        <w:t xml:space="preserve">  </w:t>
      </w:r>
    </w:p>
    <w:p w14:paraId="74BE951C" w14:textId="77777777" w:rsidR="002A30E5" w:rsidRPr="00BE4539" w:rsidRDefault="002A30E5" w:rsidP="002A30E5">
      <w:pPr>
        <w:keepNext/>
        <w:autoSpaceDE w:val="0"/>
        <w:autoSpaceDN w:val="0"/>
        <w:adjustRightInd w:val="0"/>
        <w:rPr>
          <w:sz w:val="16"/>
          <w:szCs w:val="16"/>
        </w:rPr>
      </w:pPr>
    </w:p>
    <w:p w14:paraId="4E6B43DD" w14:textId="14511B42" w:rsidR="002A30E5" w:rsidRPr="00BE4539" w:rsidRDefault="002A30E5" w:rsidP="002A30E5">
      <w:pPr>
        <w:keepNext/>
        <w:autoSpaceDE w:val="0"/>
        <w:autoSpaceDN w:val="0"/>
        <w:adjustRightInd w:val="0"/>
      </w:pPr>
      <w:r w:rsidRPr="00BE4539">
        <w:t xml:space="preserve">District-wide expenditures for fixed costs </w:t>
      </w:r>
      <w:r>
        <w:t xml:space="preserve">have risen </w:t>
      </w:r>
      <w:r w:rsidR="00E71B5D">
        <w:t>3</w:t>
      </w:r>
      <w:r>
        <w:t>5% in the past five years</w:t>
      </w:r>
      <w:r w:rsidRPr="00BE4539">
        <w:t>. Fixed costs are those expenses that the District must pay and there is little flexibility or control over the amounts. These include</w:t>
      </w:r>
      <w:r>
        <w:t xml:space="preserve"> pension contributions, health &amp; welfare,</w:t>
      </w:r>
      <w:r w:rsidRPr="00BE4539">
        <w:t xml:space="preserve"> utilities, insurance, and audit and banking fees. When examining fixed costs as a percentage of the unrestricted general</w:t>
      </w:r>
      <w:r>
        <w:t xml:space="preserve"> fund revenues, this percentage has average</w:t>
      </w:r>
      <w:r w:rsidR="00E71B5D">
        <w:t>d nearly</w:t>
      </w:r>
      <w:r>
        <w:t xml:space="preserve"> 2</w:t>
      </w:r>
      <w:r w:rsidR="00E71B5D">
        <w:t>7</w:t>
      </w:r>
      <w:r w:rsidR="00707A78">
        <w:t xml:space="preserve">% with </w:t>
      </w:r>
      <w:r>
        <w:t xml:space="preserve">its highest in FY </w:t>
      </w:r>
      <w:r w:rsidR="00806EDD">
        <w:t>20</w:t>
      </w:r>
      <w:r>
        <w:t>1</w:t>
      </w:r>
      <w:r w:rsidR="00E71B5D">
        <w:t>6</w:t>
      </w:r>
      <w:r w:rsidR="00806EDD">
        <w:t>-</w:t>
      </w:r>
      <w:r>
        <w:t>1</w:t>
      </w:r>
      <w:r w:rsidR="00E71B5D">
        <w:t>7</w:t>
      </w:r>
      <w:r>
        <w:t xml:space="preserve"> at 28.</w:t>
      </w:r>
      <w:r w:rsidR="00E71B5D">
        <w:t>8</w:t>
      </w:r>
      <w:r>
        <w:t>%</w:t>
      </w:r>
      <w:r w:rsidRPr="00BE4539">
        <w:t xml:space="preserve">.  </w:t>
      </w:r>
    </w:p>
    <w:p w14:paraId="04175652" w14:textId="77777777" w:rsidR="002A30E5" w:rsidRPr="00BE4539" w:rsidRDefault="002A30E5" w:rsidP="002A30E5">
      <w:pPr>
        <w:keepNext/>
        <w:rPr>
          <w:bCs/>
          <w:sz w:val="16"/>
          <w:szCs w:val="16"/>
        </w:rPr>
      </w:pPr>
    </w:p>
    <w:p w14:paraId="0E5743E3" w14:textId="77777777" w:rsidR="002A30E5" w:rsidRPr="00BE4539" w:rsidRDefault="002A30E5" w:rsidP="002A30E5">
      <w:pPr>
        <w:keepNext/>
        <w:autoSpaceDE w:val="0"/>
        <w:autoSpaceDN w:val="0"/>
        <w:adjustRightInd w:val="0"/>
        <w:jc w:val="center"/>
        <w:rPr>
          <w:rFonts w:ascii="Calibri" w:hAnsi="Calibri"/>
          <w:b/>
          <w:bCs/>
        </w:rPr>
      </w:pPr>
      <w:r w:rsidRPr="00BE4539">
        <w:rPr>
          <w:rFonts w:ascii="Calibri" w:hAnsi="Calibri"/>
          <w:b/>
          <w:bCs/>
        </w:rPr>
        <w:t>Fixed Costs as a Percentage of Unrestricted General Fund Revenues</w:t>
      </w:r>
    </w:p>
    <w:tbl>
      <w:tblPr>
        <w:tblW w:w="10620" w:type="dxa"/>
        <w:jc w:val="center"/>
        <w:tblLayout w:type="fixed"/>
        <w:tblLook w:val="04A0" w:firstRow="1" w:lastRow="0" w:firstColumn="1" w:lastColumn="0" w:noHBand="0" w:noVBand="1"/>
      </w:tblPr>
      <w:tblGrid>
        <w:gridCol w:w="3780"/>
        <w:gridCol w:w="1350"/>
        <w:gridCol w:w="1440"/>
        <w:gridCol w:w="1350"/>
        <w:gridCol w:w="1440"/>
        <w:gridCol w:w="1260"/>
      </w:tblGrid>
      <w:tr w:rsidR="00584187" w:rsidRPr="00BE4539" w14:paraId="5547A4F0" w14:textId="77777777" w:rsidTr="001C42F5">
        <w:trPr>
          <w:cantSplit/>
          <w:trHeight w:val="302"/>
          <w:jc w:val="center"/>
        </w:trPr>
        <w:tc>
          <w:tcPr>
            <w:tcW w:w="3780"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44D40281" w14:textId="77777777" w:rsidR="00584187" w:rsidRPr="00BE4539" w:rsidRDefault="00584187" w:rsidP="00584187">
            <w:pPr>
              <w:keepNext/>
              <w:rPr>
                <w:rFonts w:ascii="Calibri" w:eastAsia="Times New Roman" w:hAnsi="Calibri" w:cs="Arial"/>
                <w:b/>
                <w:sz w:val="20"/>
                <w:szCs w:val="20"/>
              </w:rPr>
            </w:pPr>
            <w:r w:rsidRPr="00BE4539">
              <w:rPr>
                <w:rFonts w:ascii="Calibri" w:eastAsia="Times New Roman" w:hAnsi="Calibri" w:cs="Arial"/>
                <w:b/>
                <w:sz w:val="20"/>
                <w:szCs w:val="20"/>
              </w:rPr>
              <w:t>Unrestricted General Fund:</w:t>
            </w:r>
          </w:p>
          <w:p w14:paraId="1470DAB2" w14:textId="77777777" w:rsidR="00584187" w:rsidRPr="00BE4539" w:rsidRDefault="00584187" w:rsidP="00584187">
            <w:pPr>
              <w:keepNext/>
              <w:rPr>
                <w:rFonts w:ascii="Calibri" w:eastAsia="Times New Roman" w:hAnsi="Calibri" w:cs="Arial"/>
                <w:b/>
                <w:sz w:val="20"/>
                <w:szCs w:val="20"/>
              </w:rPr>
            </w:pPr>
            <w:r w:rsidRPr="00BE4539">
              <w:rPr>
                <w:rFonts w:ascii="Calibri" w:eastAsia="Times New Roman" w:hAnsi="Calibri" w:cs="Arial"/>
                <w:b/>
                <w:sz w:val="20"/>
                <w:szCs w:val="20"/>
              </w:rPr>
              <w:t>Fixed Costs</w:t>
            </w:r>
          </w:p>
        </w:tc>
        <w:tc>
          <w:tcPr>
            <w:tcW w:w="1350"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48828B3F" w14:textId="628B9461" w:rsidR="00584187" w:rsidRPr="00BE4539" w:rsidRDefault="00584187" w:rsidP="00584187">
            <w:pPr>
              <w:keepNext/>
              <w:jc w:val="center"/>
              <w:rPr>
                <w:rFonts w:ascii="Calibri" w:eastAsia="Times New Roman" w:hAnsi="Calibri" w:cs="Arial"/>
                <w:b/>
                <w:sz w:val="20"/>
                <w:szCs w:val="20"/>
              </w:rPr>
            </w:pPr>
            <w:r w:rsidRPr="00BE4539">
              <w:rPr>
                <w:rFonts w:ascii="Calibri" w:eastAsia="Times New Roman" w:hAnsi="Calibri" w:cs="Arial"/>
                <w:b/>
                <w:sz w:val="20"/>
                <w:szCs w:val="20"/>
              </w:rPr>
              <w:t>FY  2012-13</w:t>
            </w:r>
          </w:p>
        </w:tc>
        <w:tc>
          <w:tcPr>
            <w:tcW w:w="1440" w:type="dxa"/>
            <w:tcBorders>
              <w:top w:val="single" w:sz="4" w:space="0" w:color="BFBFBF" w:themeColor="background1" w:themeShade="BF"/>
              <w:bottom w:val="single" w:sz="4" w:space="0" w:color="auto"/>
            </w:tcBorders>
            <w:shd w:val="clear" w:color="auto" w:fill="D9D9D9" w:themeFill="background1" w:themeFillShade="D9"/>
            <w:noWrap/>
            <w:vAlign w:val="bottom"/>
          </w:tcPr>
          <w:p w14:paraId="5324CCA6" w14:textId="6069EF94" w:rsidR="00584187" w:rsidRPr="00BE4539" w:rsidRDefault="00584187" w:rsidP="00584187">
            <w:pPr>
              <w:keepNext/>
              <w:jc w:val="center"/>
              <w:rPr>
                <w:rFonts w:ascii="Calibri" w:eastAsia="Times New Roman" w:hAnsi="Calibri" w:cs="Arial"/>
                <w:b/>
                <w:sz w:val="20"/>
                <w:szCs w:val="20"/>
              </w:rPr>
            </w:pPr>
            <w:r w:rsidRPr="00BE4539">
              <w:rPr>
                <w:rFonts w:ascii="Calibri" w:eastAsia="Times New Roman" w:hAnsi="Calibri" w:cs="Arial"/>
                <w:b/>
                <w:sz w:val="20"/>
                <w:szCs w:val="20"/>
              </w:rPr>
              <w:t>FY  2013-14</w:t>
            </w:r>
          </w:p>
        </w:tc>
        <w:tc>
          <w:tcPr>
            <w:tcW w:w="1350" w:type="dxa"/>
            <w:tcBorders>
              <w:top w:val="single" w:sz="4" w:space="0" w:color="BFBFBF" w:themeColor="background1" w:themeShade="BF"/>
              <w:bottom w:val="single" w:sz="4" w:space="0" w:color="auto"/>
            </w:tcBorders>
            <w:shd w:val="clear" w:color="auto" w:fill="D9D9D9" w:themeFill="background1" w:themeFillShade="D9"/>
            <w:vAlign w:val="bottom"/>
          </w:tcPr>
          <w:p w14:paraId="45CBD133" w14:textId="6459148A" w:rsidR="00584187" w:rsidRPr="00BE4539" w:rsidRDefault="00584187" w:rsidP="00584187">
            <w:pPr>
              <w:keepNext/>
              <w:jc w:val="center"/>
              <w:rPr>
                <w:rFonts w:ascii="Calibri" w:eastAsia="Times New Roman" w:hAnsi="Calibri" w:cs="Arial"/>
                <w:b/>
                <w:sz w:val="20"/>
                <w:szCs w:val="20"/>
              </w:rPr>
            </w:pPr>
            <w:r w:rsidRPr="00BE4539">
              <w:rPr>
                <w:rFonts w:ascii="Calibri" w:eastAsia="Times New Roman" w:hAnsi="Calibri" w:cs="Arial"/>
                <w:b/>
                <w:sz w:val="20"/>
                <w:szCs w:val="20"/>
              </w:rPr>
              <w:t>FY  2014-15</w:t>
            </w:r>
          </w:p>
        </w:tc>
        <w:tc>
          <w:tcPr>
            <w:tcW w:w="1440" w:type="dxa"/>
            <w:tcBorders>
              <w:top w:val="single" w:sz="4" w:space="0" w:color="BFBFBF" w:themeColor="background1" w:themeShade="BF"/>
              <w:bottom w:val="single" w:sz="4" w:space="0" w:color="auto"/>
            </w:tcBorders>
            <w:shd w:val="clear" w:color="auto" w:fill="D9D9D9" w:themeFill="background1" w:themeFillShade="D9"/>
            <w:noWrap/>
            <w:vAlign w:val="bottom"/>
          </w:tcPr>
          <w:p w14:paraId="372563A6" w14:textId="6AF6776D" w:rsidR="00584187" w:rsidRPr="00BE4539" w:rsidRDefault="00584187" w:rsidP="00584187">
            <w:pPr>
              <w:keepNext/>
              <w:jc w:val="center"/>
              <w:rPr>
                <w:rFonts w:ascii="Calibri" w:eastAsia="Times New Roman" w:hAnsi="Calibri" w:cs="Arial"/>
                <w:b/>
                <w:sz w:val="20"/>
                <w:szCs w:val="20"/>
              </w:rPr>
            </w:pPr>
            <w:r w:rsidRPr="00BE4539">
              <w:rPr>
                <w:rFonts w:ascii="Calibri" w:eastAsia="Times New Roman" w:hAnsi="Calibri" w:cs="Arial"/>
                <w:b/>
                <w:sz w:val="20"/>
                <w:szCs w:val="20"/>
              </w:rPr>
              <w:t>FY  2015-16</w:t>
            </w:r>
          </w:p>
        </w:tc>
        <w:tc>
          <w:tcPr>
            <w:tcW w:w="1260" w:type="dxa"/>
            <w:tcBorders>
              <w:top w:val="single" w:sz="4" w:space="0" w:color="BFBFBF" w:themeColor="background1" w:themeShade="BF"/>
              <w:bottom w:val="single" w:sz="4" w:space="0" w:color="auto"/>
            </w:tcBorders>
            <w:shd w:val="clear" w:color="auto" w:fill="D9D9D9" w:themeFill="background1" w:themeFillShade="D9"/>
            <w:vAlign w:val="bottom"/>
          </w:tcPr>
          <w:p w14:paraId="306CB424" w14:textId="616DCAF2" w:rsidR="00584187" w:rsidRPr="00BE4539" w:rsidRDefault="00584187" w:rsidP="00584187">
            <w:pPr>
              <w:keepNext/>
              <w:jc w:val="center"/>
              <w:rPr>
                <w:rFonts w:ascii="Calibri" w:eastAsia="Times New Roman" w:hAnsi="Calibri" w:cs="Arial"/>
                <w:b/>
                <w:sz w:val="20"/>
                <w:szCs w:val="20"/>
              </w:rPr>
            </w:pPr>
            <w:r w:rsidRPr="00BE4539">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BE4539" w14:paraId="7A8A9CE2" w14:textId="77777777" w:rsidTr="001C42F5">
        <w:trPr>
          <w:cantSplit/>
          <w:trHeight w:val="302"/>
          <w:jc w:val="center"/>
        </w:trPr>
        <w:tc>
          <w:tcPr>
            <w:tcW w:w="3780" w:type="dxa"/>
            <w:tcBorders>
              <w:top w:val="single" w:sz="4" w:space="0" w:color="BFBFBF" w:themeColor="background1" w:themeShade="BF"/>
              <w:right w:val="single" w:sz="4" w:space="0" w:color="BFBFBF" w:themeColor="background1" w:themeShade="BF"/>
            </w:tcBorders>
            <w:shd w:val="clear" w:color="auto" w:fill="FBD4B4" w:themeFill="accent6" w:themeFillTint="66"/>
            <w:noWrap/>
            <w:vAlign w:val="center"/>
          </w:tcPr>
          <w:p w14:paraId="388F7F8D" w14:textId="77777777" w:rsidR="00584187" w:rsidRPr="00BE4539" w:rsidRDefault="00584187" w:rsidP="00584187">
            <w:pPr>
              <w:keepNext/>
              <w:rPr>
                <w:rFonts w:ascii="Calibri" w:eastAsia="Times New Roman" w:hAnsi="Calibri" w:cs="Arial"/>
                <w:sz w:val="20"/>
                <w:szCs w:val="20"/>
              </w:rPr>
            </w:pPr>
            <w:r w:rsidRPr="00BE4539">
              <w:rPr>
                <w:rFonts w:ascii="Calibri" w:eastAsia="Times New Roman" w:hAnsi="Calibri" w:cs="Arial"/>
                <w:sz w:val="20"/>
                <w:szCs w:val="20"/>
              </w:rPr>
              <w:t>Orange  Coast</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741D216E" w14:textId="096B3EAD" w:rsidR="00584187" w:rsidRPr="00BE4539" w:rsidRDefault="00584187" w:rsidP="00584187">
            <w:pPr>
              <w:keepNext/>
              <w:jc w:val="center"/>
              <w:rPr>
                <w:rFonts w:ascii="Calibri" w:eastAsia="Times New Roman" w:hAnsi="Calibri" w:cs="Arial"/>
                <w:sz w:val="20"/>
                <w:szCs w:val="20"/>
              </w:rPr>
            </w:pPr>
            <w:r w:rsidRPr="00BE4539">
              <w:rPr>
                <w:rFonts w:ascii="Calibri" w:hAnsi="Calibri"/>
                <w:sz w:val="20"/>
                <w:szCs w:val="20"/>
              </w:rPr>
              <w:t>12,617,289</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1C9877AB" w14:textId="06684083" w:rsidR="00584187" w:rsidRPr="00BE4539" w:rsidRDefault="00584187" w:rsidP="00584187">
            <w:pPr>
              <w:keepNext/>
              <w:jc w:val="center"/>
              <w:rPr>
                <w:rFonts w:ascii="Calibri" w:eastAsia="Times New Roman" w:hAnsi="Calibri" w:cs="Arial"/>
                <w:sz w:val="20"/>
                <w:szCs w:val="20"/>
              </w:rPr>
            </w:pPr>
            <w:r w:rsidRPr="00BE4539">
              <w:rPr>
                <w:rFonts w:ascii="Calibri" w:hAnsi="Calibri"/>
                <w:sz w:val="20"/>
                <w:szCs w:val="20"/>
              </w:rPr>
              <w:t>11,959,918</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20339498" w14:textId="00A648F0" w:rsidR="00584187" w:rsidRPr="00BE4539" w:rsidRDefault="00584187" w:rsidP="00584187">
            <w:pPr>
              <w:keepNext/>
              <w:jc w:val="center"/>
              <w:rPr>
                <w:rFonts w:ascii="Calibri" w:eastAsia="Times New Roman" w:hAnsi="Calibri" w:cs="Arial"/>
                <w:sz w:val="20"/>
                <w:szCs w:val="20"/>
              </w:rPr>
            </w:pPr>
            <w:r w:rsidRPr="00BE4539">
              <w:rPr>
                <w:rFonts w:ascii="Calibri" w:eastAsia="Times New Roman" w:hAnsi="Calibri" w:cs="Arial"/>
                <w:sz w:val="20"/>
                <w:szCs w:val="20"/>
              </w:rPr>
              <w:t>13,721,607</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75D84AE8" w14:textId="34E2FD1E" w:rsidR="00584187" w:rsidRPr="00BE4539" w:rsidRDefault="00584187" w:rsidP="00584187">
            <w:pPr>
              <w:keepNext/>
              <w:jc w:val="center"/>
              <w:rPr>
                <w:rFonts w:ascii="Calibri" w:eastAsia="Times New Roman" w:hAnsi="Calibri" w:cs="Arial"/>
                <w:sz w:val="20"/>
                <w:szCs w:val="20"/>
              </w:rPr>
            </w:pPr>
            <w:r w:rsidRPr="00BE4539">
              <w:rPr>
                <w:rFonts w:ascii="Calibri" w:eastAsia="Times New Roman" w:hAnsi="Calibri" w:cs="Arial"/>
                <w:sz w:val="20"/>
                <w:szCs w:val="20"/>
              </w:rPr>
              <w:t>14,361,551</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05BE8F42" w14:textId="268283E4" w:rsidR="00584187" w:rsidRPr="00BE4539" w:rsidRDefault="005E5463" w:rsidP="00584187">
            <w:pPr>
              <w:keepNext/>
              <w:jc w:val="center"/>
              <w:rPr>
                <w:rFonts w:ascii="Calibri" w:eastAsia="Times New Roman" w:hAnsi="Calibri" w:cs="Arial"/>
                <w:sz w:val="20"/>
                <w:szCs w:val="20"/>
              </w:rPr>
            </w:pPr>
            <w:r w:rsidRPr="005E5463">
              <w:rPr>
                <w:rFonts w:ascii="Calibri" w:eastAsia="Times New Roman" w:hAnsi="Calibri" w:cs="Arial"/>
                <w:sz w:val="20"/>
                <w:szCs w:val="20"/>
              </w:rPr>
              <w:t>15,338,237</w:t>
            </w:r>
          </w:p>
        </w:tc>
      </w:tr>
      <w:tr w:rsidR="00584187" w:rsidRPr="00BE4539" w14:paraId="17178002" w14:textId="77777777" w:rsidTr="001C42F5">
        <w:trPr>
          <w:cantSplit/>
          <w:trHeight w:val="302"/>
          <w:jc w:val="center"/>
        </w:trPr>
        <w:tc>
          <w:tcPr>
            <w:tcW w:w="3780" w:type="dxa"/>
            <w:tcBorders>
              <w:bottom w:val="single" w:sz="4" w:space="0" w:color="BFBFBF" w:themeColor="background1" w:themeShade="BF"/>
              <w:right w:val="single" w:sz="4" w:space="0" w:color="BFBFBF" w:themeColor="background1" w:themeShade="BF"/>
            </w:tcBorders>
            <w:shd w:val="clear" w:color="auto" w:fill="FBD4B4" w:themeFill="accent6" w:themeFillTint="66"/>
            <w:noWrap/>
            <w:vAlign w:val="center"/>
          </w:tcPr>
          <w:p w14:paraId="32B17600" w14:textId="77777777" w:rsidR="00584187" w:rsidRPr="00BE4539" w:rsidRDefault="00584187" w:rsidP="00584187">
            <w:pPr>
              <w:keepNext/>
              <w:jc w:val="right"/>
              <w:rPr>
                <w:rFonts w:ascii="Calibri" w:eastAsia="Times New Roman" w:hAnsi="Calibri" w:cs="Arial"/>
                <w:sz w:val="20"/>
                <w:szCs w:val="20"/>
              </w:rPr>
            </w:pPr>
            <w:r w:rsidRPr="00BE4539">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5D08A70E" w14:textId="62101D2E" w:rsidR="00584187" w:rsidRPr="00BE4539" w:rsidRDefault="00584187" w:rsidP="00584187">
            <w:pPr>
              <w:keepNext/>
              <w:jc w:val="center"/>
              <w:rPr>
                <w:rFonts w:ascii="Calibri" w:eastAsia="Times New Roman" w:hAnsi="Calibri" w:cs="Arial"/>
                <w:sz w:val="20"/>
                <w:szCs w:val="20"/>
              </w:rPr>
            </w:pPr>
            <w:r w:rsidRPr="00BE4539">
              <w:rPr>
                <w:rFonts w:ascii="Calibri" w:hAnsi="Calibri"/>
                <w:sz w:val="20"/>
                <w:szCs w:val="20"/>
              </w:rPr>
              <w:t>7.0%</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2FFDA1BF" w14:textId="6B812C05" w:rsidR="00584187" w:rsidRPr="00BE4539" w:rsidRDefault="00584187" w:rsidP="00584187">
            <w:pPr>
              <w:keepNext/>
              <w:jc w:val="center"/>
              <w:rPr>
                <w:rFonts w:ascii="Calibri" w:eastAsia="Times New Roman" w:hAnsi="Calibri" w:cs="Arial"/>
                <w:sz w:val="20"/>
                <w:szCs w:val="20"/>
              </w:rPr>
            </w:pPr>
            <w:r w:rsidRPr="00BE4539">
              <w:rPr>
                <w:rFonts w:ascii="Calibri" w:hAnsi="Calibri"/>
                <w:sz w:val="20"/>
                <w:szCs w:val="20"/>
              </w:rPr>
              <w:t>6.7%</w:t>
            </w:r>
          </w:p>
        </w:tc>
        <w:tc>
          <w:tcPr>
            <w:tcW w:w="135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3032F82D" w14:textId="10494209" w:rsidR="00584187" w:rsidRPr="00BE4539" w:rsidRDefault="00584187" w:rsidP="00584187">
            <w:pPr>
              <w:keepNext/>
              <w:jc w:val="center"/>
              <w:rPr>
                <w:rFonts w:ascii="Calibri" w:eastAsia="Times New Roman" w:hAnsi="Calibri" w:cs="Arial"/>
                <w:sz w:val="20"/>
                <w:szCs w:val="20"/>
              </w:rPr>
            </w:pPr>
            <w:r w:rsidRPr="00BE4539">
              <w:rPr>
                <w:rFonts w:ascii="Calibri" w:eastAsia="Times New Roman" w:hAnsi="Calibri" w:cs="Arial"/>
                <w:sz w:val="20"/>
                <w:szCs w:val="20"/>
              </w:rPr>
              <w:t>7.2%</w:t>
            </w:r>
          </w:p>
        </w:tc>
        <w:tc>
          <w:tcPr>
            <w:tcW w:w="1440"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2E679D62" w14:textId="24F3E069" w:rsidR="00584187" w:rsidRPr="00BE4539" w:rsidRDefault="00584187" w:rsidP="00584187">
            <w:pPr>
              <w:keepNext/>
              <w:jc w:val="center"/>
              <w:rPr>
                <w:rFonts w:ascii="Calibri" w:eastAsia="Times New Roman" w:hAnsi="Calibri" w:cs="Arial"/>
                <w:sz w:val="20"/>
                <w:szCs w:val="20"/>
              </w:rPr>
            </w:pPr>
            <w:r w:rsidRPr="00BE4539">
              <w:rPr>
                <w:rFonts w:ascii="Calibri" w:eastAsia="Times New Roman" w:hAnsi="Calibri" w:cs="Arial"/>
                <w:sz w:val="20"/>
                <w:szCs w:val="20"/>
              </w:rPr>
              <w:t>6.4%</w:t>
            </w:r>
          </w:p>
        </w:tc>
        <w:tc>
          <w:tcPr>
            <w:tcW w:w="1260"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580D7392" w14:textId="1FB2F6DF" w:rsidR="00584187" w:rsidRPr="00BE4539" w:rsidRDefault="005E5463" w:rsidP="00584187">
            <w:pPr>
              <w:keepNext/>
              <w:jc w:val="center"/>
              <w:rPr>
                <w:rFonts w:ascii="Calibri" w:eastAsia="Times New Roman" w:hAnsi="Calibri" w:cs="Arial"/>
                <w:sz w:val="20"/>
                <w:szCs w:val="20"/>
              </w:rPr>
            </w:pPr>
            <w:r w:rsidRPr="005E5463">
              <w:rPr>
                <w:rFonts w:ascii="Calibri" w:eastAsia="Times New Roman" w:hAnsi="Calibri" w:cs="Arial"/>
                <w:sz w:val="20"/>
                <w:szCs w:val="20"/>
              </w:rPr>
              <w:t>7.2%</w:t>
            </w:r>
          </w:p>
        </w:tc>
      </w:tr>
      <w:tr w:rsidR="00584187" w:rsidRPr="00BE4539" w14:paraId="01773492" w14:textId="77777777" w:rsidTr="001C42F5">
        <w:trPr>
          <w:cantSplit/>
          <w:trHeight w:val="302"/>
          <w:jc w:val="center"/>
        </w:trPr>
        <w:tc>
          <w:tcPr>
            <w:tcW w:w="3780" w:type="dxa"/>
            <w:tcBorders>
              <w:top w:val="single" w:sz="4" w:space="0" w:color="BFBFBF" w:themeColor="background1" w:themeShade="BF"/>
              <w:right w:val="single" w:sz="4" w:space="0" w:color="BFBFBF" w:themeColor="background1" w:themeShade="BF"/>
            </w:tcBorders>
            <w:shd w:val="clear" w:color="auto" w:fill="D6E3BC" w:themeFill="accent3" w:themeFillTint="66"/>
            <w:noWrap/>
            <w:vAlign w:val="center"/>
          </w:tcPr>
          <w:p w14:paraId="7B9689A4" w14:textId="77777777" w:rsidR="00584187" w:rsidRPr="00BE4539" w:rsidRDefault="00584187" w:rsidP="00584187">
            <w:pPr>
              <w:keepNext/>
              <w:rPr>
                <w:rFonts w:ascii="Calibri" w:eastAsia="Times New Roman" w:hAnsi="Calibri" w:cs="Arial"/>
                <w:sz w:val="20"/>
                <w:szCs w:val="20"/>
              </w:rPr>
            </w:pPr>
            <w:r w:rsidRPr="00BE4539">
              <w:rPr>
                <w:rFonts w:ascii="Calibri" w:eastAsia="Times New Roman" w:hAnsi="Calibri" w:cs="Arial"/>
                <w:sz w:val="20"/>
                <w:szCs w:val="20"/>
              </w:rPr>
              <w:t>Golden  West</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592B4C44" w14:textId="5FD8D562" w:rsidR="00584187" w:rsidRPr="00BE4539" w:rsidRDefault="00584187" w:rsidP="00584187">
            <w:pPr>
              <w:keepNext/>
              <w:jc w:val="center"/>
              <w:rPr>
                <w:rFonts w:ascii="Calibri" w:hAnsi="Calibri"/>
                <w:sz w:val="20"/>
                <w:szCs w:val="20"/>
              </w:rPr>
            </w:pPr>
            <w:r w:rsidRPr="00BE4539">
              <w:rPr>
                <w:rFonts w:ascii="Calibri" w:hAnsi="Calibri"/>
                <w:sz w:val="20"/>
                <w:szCs w:val="20"/>
              </w:rPr>
              <w:t>7,292,999</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6D19B7EC" w14:textId="50FF68A8" w:rsidR="00584187" w:rsidRPr="00BE4539" w:rsidRDefault="00584187" w:rsidP="00584187">
            <w:pPr>
              <w:keepNext/>
              <w:jc w:val="center"/>
              <w:rPr>
                <w:rFonts w:ascii="Calibri" w:hAnsi="Calibri"/>
                <w:sz w:val="20"/>
                <w:szCs w:val="20"/>
              </w:rPr>
            </w:pPr>
            <w:r w:rsidRPr="00BE4539">
              <w:rPr>
                <w:rFonts w:ascii="Calibri" w:hAnsi="Calibri"/>
                <w:sz w:val="20"/>
                <w:szCs w:val="20"/>
              </w:rPr>
              <w:t>7,117,365</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0EB1D62B" w14:textId="5BCBC2D9" w:rsidR="00584187" w:rsidRPr="00BE4539" w:rsidRDefault="00584187" w:rsidP="00584187">
            <w:pPr>
              <w:keepNext/>
              <w:jc w:val="center"/>
              <w:rPr>
                <w:rFonts w:ascii="Calibri" w:hAnsi="Calibri"/>
                <w:sz w:val="20"/>
                <w:szCs w:val="20"/>
              </w:rPr>
            </w:pPr>
            <w:r w:rsidRPr="00BE4539">
              <w:rPr>
                <w:rFonts w:ascii="Calibri" w:hAnsi="Calibri"/>
                <w:sz w:val="20"/>
                <w:szCs w:val="20"/>
              </w:rPr>
              <w:t>7,966,868</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5771E5CB" w14:textId="7832347A" w:rsidR="00584187" w:rsidRPr="00BE4539" w:rsidRDefault="00584187" w:rsidP="00584187">
            <w:pPr>
              <w:keepNext/>
              <w:jc w:val="center"/>
              <w:rPr>
                <w:rFonts w:ascii="Calibri" w:hAnsi="Calibri"/>
                <w:sz w:val="20"/>
                <w:szCs w:val="20"/>
              </w:rPr>
            </w:pPr>
            <w:r w:rsidRPr="00BE4539">
              <w:rPr>
                <w:rFonts w:ascii="Calibri" w:hAnsi="Calibri"/>
                <w:sz w:val="20"/>
                <w:szCs w:val="20"/>
              </w:rPr>
              <w:t>8,518,503</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47898319" w14:textId="6C1766F2" w:rsidR="00584187" w:rsidRPr="00BE4539" w:rsidRDefault="005E5463" w:rsidP="00584187">
            <w:pPr>
              <w:keepNext/>
              <w:jc w:val="center"/>
              <w:rPr>
                <w:rFonts w:ascii="Calibri" w:hAnsi="Calibri"/>
                <w:sz w:val="20"/>
                <w:szCs w:val="20"/>
              </w:rPr>
            </w:pPr>
            <w:r w:rsidRPr="005E5463">
              <w:rPr>
                <w:rFonts w:ascii="Calibri" w:hAnsi="Calibri"/>
                <w:sz w:val="20"/>
                <w:szCs w:val="20"/>
              </w:rPr>
              <w:t>9,121,921</w:t>
            </w:r>
          </w:p>
        </w:tc>
      </w:tr>
      <w:tr w:rsidR="00584187" w:rsidRPr="00BE4539" w14:paraId="26706854" w14:textId="77777777" w:rsidTr="001C42F5">
        <w:trPr>
          <w:cantSplit/>
          <w:trHeight w:val="302"/>
          <w:jc w:val="center"/>
        </w:trPr>
        <w:tc>
          <w:tcPr>
            <w:tcW w:w="3780" w:type="dxa"/>
            <w:tcBorders>
              <w:bottom w:val="single" w:sz="4" w:space="0" w:color="BFBFBF" w:themeColor="background1" w:themeShade="BF"/>
              <w:right w:val="single" w:sz="4" w:space="0" w:color="BFBFBF" w:themeColor="background1" w:themeShade="BF"/>
            </w:tcBorders>
            <w:shd w:val="clear" w:color="auto" w:fill="D6E3BC" w:themeFill="accent3" w:themeFillTint="66"/>
            <w:noWrap/>
            <w:vAlign w:val="center"/>
          </w:tcPr>
          <w:p w14:paraId="55287A63" w14:textId="77777777" w:rsidR="00584187" w:rsidRPr="00BE4539" w:rsidRDefault="00584187" w:rsidP="00584187">
            <w:pPr>
              <w:keepNext/>
              <w:jc w:val="right"/>
              <w:rPr>
                <w:rFonts w:ascii="Calibri" w:eastAsia="Times New Roman" w:hAnsi="Calibri" w:cs="Arial"/>
                <w:sz w:val="20"/>
                <w:szCs w:val="20"/>
              </w:rPr>
            </w:pPr>
            <w:r w:rsidRPr="00BE4539">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0CEC0E65" w14:textId="55FCE26D" w:rsidR="00584187" w:rsidRPr="00BE4539" w:rsidRDefault="00584187" w:rsidP="00584187">
            <w:pPr>
              <w:keepNext/>
              <w:jc w:val="center"/>
              <w:rPr>
                <w:rFonts w:ascii="Calibri" w:hAnsi="Calibri"/>
                <w:sz w:val="20"/>
                <w:szCs w:val="20"/>
              </w:rPr>
            </w:pPr>
            <w:r w:rsidRPr="00BE4539">
              <w:rPr>
                <w:rFonts w:ascii="Calibri" w:hAnsi="Calibri"/>
                <w:sz w:val="20"/>
                <w:szCs w:val="20"/>
              </w:rPr>
              <w:t>4.0%</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56F1033E" w14:textId="1F13341C" w:rsidR="00584187" w:rsidRPr="00BE4539" w:rsidRDefault="00584187" w:rsidP="00584187">
            <w:pPr>
              <w:keepNext/>
              <w:jc w:val="center"/>
              <w:rPr>
                <w:rFonts w:ascii="Calibri" w:hAnsi="Calibri"/>
                <w:sz w:val="20"/>
                <w:szCs w:val="20"/>
              </w:rPr>
            </w:pPr>
            <w:r w:rsidRPr="00BE4539">
              <w:rPr>
                <w:rFonts w:ascii="Calibri" w:hAnsi="Calibri"/>
                <w:sz w:val="20"/>
                <w:szCs w:val="20"/>
              </w:rPr>
              <w:t>4.0%</w:t>
            </w:r>
          </w:p>
        </w:tc>
        <w:tc>
          <w:tcPr>
            <w:tcW w:w="1350"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77165775" w14:textId="55706C6D" w:rsidR="00584187" w:rsidRPr="00BE4539" w:rsidRDefault="00584187" w:rsidP="00584187">
            <w:pPr>
              <w:keepNext/>
              <w:jc w:val="center"/>
              <w:rPr>
                <w:rFonts w:ascii="Calibri" w:hAnsi="Calibri"/>
                <w:sz w:val="20"/>
                <w:szCs w:val="20"/>
              </w:rPr>
            </w:pPr>
            <w:r w:rsidRPr="00BE4539">
              <w:rPr>
                <w:rFonts w:ascii="Calibri" w:hAnsi="Calibri"/>
                <w:sz w:val="20"/>
                <w:szCs w:val="20"/>
              </w:rPr>
              <w:t>4.2%</w:t>
            </w:r>
          </w:p>
        </w:tc>
        <w:tc>
          <w:tcPr>
            <w:tcW w:w="1440"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2F261FF6" w14:textId="7669EE8D" w:rsidR="00584187" w:rsidRPr="00BE4539" w:rsidRDefault="00584187" w:rsidP="00584187">
            <w:pPr>
              <w:keepNext/>
              <w:jc w:val="center"/>
              <w:rPr>
                <w:rFonts w:ascii="Calibri" w:hAnsi="Calibri"/>
                <w:sz w:val="20"/>
                <w:szCs w:val="20"/>
              </w:rPr>
            </w:pPr>
            <w:r w:rsidRPr="00BE4539">
              <w:rPr>
                <w:rFonts w:ascii="Calibri" w:hAnsi="Calibri"/>
                <w:sz w:val="20"/>
                <w:szCs w:val="20"/>
              </w:rPr>
              <w:t>3.8%</w:t>
            </w:r>
          </w:p>
        </w:tc>
        <w:tc>
          <w:tcPr>
            <w:tcW w:w="1260"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64A4EEF7" w14:textId="426A8EFD" w:rsidR="00584187" w:rsidRPr="00BE4539" w:rsidRDefault="005E5463" w:rsidP="00584187">
            <w:pPr>
              <w:keepNext/>
              <w:jc w:val="center"/>
              <w:rPr>
                <w:rFonts w:ascii="Calibri" w:hAnsi="Calibri"/>
                <w:sz w:val="20"/>
                <w:szCs w:val="20"/>
              </w:rPr>
            </w:pPr>
            <w:r w:rsidRPr="005E5463">
              <w:rPr>
                <w:rFonts w:ascii="Calibri" w:hAnsi="Calibri"/>
                <w:sz w:val="20"/>
                <w:szCs w:val="20"/>
              </w:rPr>
              <w:t>4.3%</w:t>
            </w:r>
          </w:p>
        </w:tc>
      </w:tr>
      <w:tr w:rsidR="00584187" w:rsidRPr="00BE4539" w14:paraId="1133824A" w14:textId="77777777" w:rsidTr="001C42F5">
        <w:trPr>
          <w:cantSplit/>
          <w:trHeight w:val="302"/>
          <w:jc w:val="center"/>
        </w:trPr>
        <w:tc>
          <w:tcPr>
            <w:tcW w:w="3780" w:type="dxa"/>
            <w:tcBorders>
              <w:top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415F15E3" w14:textId="77777777" w:rsidR="00584187" w:rsidRPr="00BE4539" w:rsidRDefault="00584187" w:rsidP="00584187">
            <w:pPr>
              <w:keepNext/>
              <w:rPr>
                <w:rFonts w:ascii="Calibri" w:eastAsia="Times New Roman" w:hAnsi="Calibri" w:cs="Arial"/>
                <w:sz w:val="20"/>
                <w:szCs w:val="20"/>
              </w:rPr>
            </w:pPr>
            <w:r w:rsidRPr="00BE4539">
              <w:rPr>
                <w:rFonts w:ascii="Calibri" w:eastAsia="Times New Roman" w:hAnsi="Calibri" w:cs="Arial"/>
                <w:sz w:val="20"/>
                <w:szCs w:val="20"/>
              </w:rPr>
              <w:t>Coastline</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77D78838" w14:textId="440687E7" w:rsidR="00584187" w:rsidRPr="00BE4539" w:rsidRDefault="00584187" w:rsidP="00584187">
            <w:pPr>
              <w:keepNext/>
              <w:jc w:val="center"/>
              <w:rPr>
                <w:rFonts w:ascii="Calibri" w:hAnsi="Calibri"/>
                <w:sz w:val="20"/>
                <w:szCs w:val="20"/>
              </w:rPr>
            </w:pPr>
            <w:r w:rsidRPr="00BE4539">
              <w:rPr>
                <w:rFonts w:ascii="Calibri" w:hAnsi="Calibri"/>
                <w:sz w:val="20"/>
                <w:szCs w:val="20"/>
              </w:rPr>
              <w:t xml:space="preserve">3,564,582 </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2291B59F" w14:textId="7C4A2DB8" w:rsidR="00584187" w:rsidRPr="00BE4539" w:rsidRDefault="00584187" w:rsidP="00584187">
            <w:pPr>
              <w:keepNext/>
              <w:jc w:val="center"/>
              <w:rPr>
                <w:rFonts w:ascii="Calibri" w:hAnsi="Calibri"/>
                <w:sz w:val="20"/>
                <w:szCs w:val="20"/>
              </w:rPr>
            </w:pPr>
            <w:r w:rsidRPr="00BE4539">
              <w:rPr>
                <w:rFonts w:ascii="Calibri" w:hAnsi="Calibri"/>
                <w:sz w:val="20"/>
                <w:szCs w:val="20"/>
              </w:rPr>
              <w:t xml:space="preserve">3,458,831 </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4AF1502E" w14:textId="6D112323" w:rsidR="00584187" w:rsidRPr="00BE4539" w:rsidRDefault="00584187" w:rsidP="00584187">
            <w:pPr>
              <w:keepNext/>
              <w:jc w:val="center"/>
              <w:rPr>
                <w:rFonts w:ascii="Calibri" w:hAnsi="Calibri"/>
                <w:sz w:val="20"/>
                <w:szCs w:val="20"/>
              </w:rPr>
            </w:pPr>
            <w:r w:rsidRPr="00BE4539">
              <w:rPr>
                <w:rFonts w:ascii="Calibri" w:hAnsi="Calibri"/>
                <w:sz w:val="20"/>
                <w:szCs w:val="20"/>
              </w:rPr>
              <w:t xml:space="preserve">3,953,938 </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269DD020" w14:textId="0C2AABE1" w:rsidR="00584187" w:rsidRPr="00BE4539" w:rsidRDefault="00584187" w:rsidP="00584187">
            <w:pPr>
              <w:keepNext/>
              <w:jc w:val="center"/>
              <w:rPr>
                <w:rFonts w:ascii="Calibri" w:hAnsi="Calibri"/>
                <w:sz w:val="20"/>
                <w:szCs w:val="20"/>
              </w:rPr>
            </w:pPr>
            <w:r w:rsidRPr="00BE4539">
              <w:rPr>
                <w:rFonts w:ascii="Calibri" w:hAnsi="Calibri"/>
                <w:sz w:val="20"/>
                <w:szCs w:val="20"/>
              </w:rPr>
              <w:t xml:space="preserve">4,164,554 </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0F46262F" w14:textId="0C3FBD82" w:rsidR="00584187" w:rsidRPr="00BE4539" w:rsidRDefault="005E5463" w:rsidP="00584187">
            <w:pPr>
              <w:keepNext/>
              <w:jc w:val="center"/>
              <w:rPr>
                <w:rFonts w:ascii="Calibri" w:hAnsi="Calibri"/>
                <w:sz w:val="20"/>
                <w:szCs w:val="20"/>
              </w:rPr>
            </w:pPr>
            <w:r w:rsidRPr="005E5463">
              <w:rPr>
                <w:rFonts w:ascii="Calibri" w:hAnsi="Calibri"/>
                <w:sz w:val="20"/>
                <w:szCs w:val="20"/>
              </w:rPr>
              <w:t>4,475,642</w:t>
            </w:r>
          </w:p>
        </w:tc>
      </w:tr>
      <w:tr w:rsidR="00584187" w:rsidRPr="00BE4539" w14:paraId="349B7CDF" w14:textId="77777777" w:rsidTr="001C42F5">
        <w:trPr>
          <w:cantSplit/>
          <w:trHeight w:val="302"/>
          <w:jc w:val="center"/>
        </w:trPr>
        <w:tc>
          <w:tcPr>
            <w:tcW w:w="3780" w:type="dxa"/>
            <w:tcBorders>
              <w:right w:val="single" w:sz="4" w:space="0" w:color="BFBFBF" w:themeColor="background1" w:themeShade="BF"/>
            </w:tcBorders>
            <w:shd w:val="clear" w:color="auto" w:fill="DBE5F1" w:themeFill="accent1" w:themeFillTint="33"/>
            <w:noWrap/>
            <w:vAlign w:val="center"/>
          </w:tcPr>
          <w:p w14:paraId="001A009E" w14:textId="77777777" w:rsidR="00584187" w:rsidRPr="00BE4539" w:rsidRDefault="00584187" w:rsidP="00584187">
            <w:pPr>
              <w:keepNext/>
              <w:jc w:val="right"/>
              <w:rPr>
                <w:rFonts w:ascii="Calibri" w:eastAsia="Times New Roman" w:hAnsi="Calibri" w:cs="Arial"/>
                <w:sz w:val="20"/>
                <w:szCs w:val="20"/>
              </w:rPr>
            </w:pPr>
            <w:r w:rsidRPr="00BE4539">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00965590" w14:textId="00206257" w:rsidR="00584187" w:rsidRPr="00BE4539" w:rsidRDefault="00584187" w:rsidP="00584187">
            <w:pPr>
              <w:keepNext/>
              <w:jc w:val="center"/>
              <w:rPr>
                <w:rFonts w:ascii="Calibri" w:hAnsi="Calibri"/>
                <w:sz w:val="20"/>
                <w:szCs w:val="20"/>
              </w:rPr>
            </w:pPr>
            <w:r w:rsidRPr="00BE4539">
              <w:rPr>
                <w:rFonts w:ascii="Calibri" w:hAnsi="Calibri"/>
                <w:sz w:val="20"/>
                <w:szCs w:val="20"/>
              </w:rPr>
              <w:t>2.0%</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225D3694" w14:textId="645B7C84" w:rsidR="00584187" w:rsidRPr="00BE4539" w:rsidRDefault="00584187" w:rsidP="00584187">
            <w:pPr>
              <w:keepNext/>
              <w:jc w:val="center"/>
              <w:rPr>
                <w:rFonts w:ascii="Calibri" w:hAnsi="Calibri"/>
                <w:sz w:val="20"/>
                <w:szCs w:val="20"/>
              </w:rPr>
            </w:pPr>
            <w:r w:rsidRPr="00BE4539">
              <w:rPr>
                <w:rFonts w:ascii="Calibri" w:hAnsi="Calibri"/>
                <w:sz w:val="20"/>
                <w:szCs w:val="20"/>
              </w:rPr>
              <w:t>1.9%</w:t>
            </w:r>
          </w:p>
        </w:tc>
        <w:tc>
          <w:tcPr>
            <w:tcW w:w="1350"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6D0395A1" w14:textId="2D315E09" w:rsidR="00584187" w:rsidRPr="00BE4539" w:rsidRDefault="00584187" w:rsidP="00584187">
            <w:pPr>
              <w:keepNext/>
              <w:jc w:val="center"/>
              <w:rPr>
                <w:rFonts w:ascii="Calibri" w:hAnsi="Calibri"/>
                <w:sz w:val="20"/>
                <w:szCs w:val="20"/>
              </w:rPr>
            </w:pPr>
            <w:r w:rsidRPr="00BE4539">
              <w:rPr>
                <w:rFonts w:ascii="Calibri" w:hAnsi="Calibri"/>
                <w:sz w:val="20"/>
                <w:szCs w:val="20"/>
              </w:rPr>
              <w:t>2.1%</w:t>
            </w:r>
          </w:p>
        </w:tc>
        <w:tc>
          <w:tcPr>
            <w:tcW w:w="1440"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3D903A0C" w14:textId="1614D0F9" w:rsidR="00584187" w:rsidRPr="00BE4539" w:rsidRDefault="00584187" w:rsidP="00584187">
            <w:pPr>
              <w:keepNext/>
              <w:jc w:val="center"/>
              <w:rPr>
                <w:rFonts w:ascii="Calibri" w:hAnsi="Calibri"/>
                <w:sz w:val="20"/>
                <w:szCs w:val="20"/>
              </w:rPr>
            </w:pPr>
            <w:r w:rsidRPr="00BE4539">
              <w:rPr>
                <w:rFonts w:ascii="Calibri" w:hAnsi="Calibri"/>
                <w:sz w:val="20"/>
                <w:szCs w:val="20"/>
              </w:rPr>
              <w:t>1.8%</w:t>
            </w:r>
          </w:p>
        </w:tc>
        <w:tc>
          <w:tcPr>
            <w:tcW w:w="1260"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610FC23D" w14:textId="242B2A5A" w:rsidR="00584187" w:rsidRPr="00BE4539" w:rsidRDefault="005E5463" w:rsidP="00584187">
            <w:pPr>
              <w:keepNext/>
              <w:jc w:val="center"/>
              <w:rPr>
                <w:rFonts w:ascii="Calibri" w:hAnsi="Calibri"/>
                <w:sz w:val="20"/>
                <w:szCs w:val="20"/>
              </w:rPr>
            </w:pPr>
            <w:r w:rsidRPr="005E5463">
              <w:rPr>
                <w:rFonts w:ascii="Calibri" w:hAnsi="Calibri"/>
                <w:sz w:val="20"/>
                <w:szCs w:val="20"/>
              </w:rPr>
              <w:t>1.9%</w:t>
            </w:r>
          </w:p>
        </w:tc>
      </w:tr>
      <w:tr w:rsidR="00584187" w:rsidRPr="00BE4539" w14:paraId="37003D9C" w14:textId="77777777" w:rsidTr="001C42F5">
        <w:trPr>
          <w:cantSplit/>
          <w:trHeight w:val="302"/>
          <w:jc w:val="center"/>
        </w:trPr>
        <w:tc>
          <w:tcPr>
            <w:tcW w:w="3780" w:type="dxa"/>
            <w:tcBorders>
              <w:right w:val="single" w:sz="4" w:space="0" w:color="BFBFBF" w:themeColor="background1" w:themeShade="BF"/>
            </w:tcBorders>
            <w:shd w:val="clear" w:color="auto" w:fill="auto"/>
            <w:noWrap/>
            <w:vAlign w:val="center"/>
          </w:tcPr>
          <w:p w14:paraId="4C124144" w14:textId="77777777" w:rsidR="00584187" w:rsidRPr="00BE4539" w:rsidRDefault="00584187" w:rsidP="00584187">
            <w:pPr>
              <w:keepNext/>
              <w:rPr>
                <w:rFonts w:ascii="Calibri" w:eastAsia="Times New Roman" w:hAnsi="Calibri" w:cs="Arial"/>
                <w:sz w:val="20"/>
                <w:szCs w:val="20"/>
              </w:rPr>
            </w:pPr>
            <w:r w:rsidRPr="00BE4539">
              <w:rPr>
                <w:rFonts w:ascii="Calibri" w:eastAsia="Times New Roman" w:hAnsi="Calibri" w:cs="Arial"/>
                <w:sz w:val="20"/>
                <w:szCs w:val="20"/>
              </w:rPr>
              <w:t>District  Office</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735EA7C4" w14:textId="5035E125" w:rsidR="00584187" w:rsidRPr="00BE4539" w:rsidRDefault="00584187" w:rsidP="00584187">
            <w:pPr>
              <w:keepNext/>
              <w:jc w:val="center"/>
              <w:rPr>
                <w:rFonts w:ascii="Calibri" w:hAnsi="Calibri"/>
                <w:sz w:val="20"/>
                <w:szCs w:val="20"/>
              </w:rPr>
            </w:pPr>
            <w:r w:rsidRPr="00BE4539">
              <w:rPr>
                <w:rFonts w:ascii="Calibri" w:hAnsi="Calibri"/>
                <w:sz w:val="20"/>
                <w:szCs w:val="20"/>
              </w:rPr>
              <w:t>2,308,898</w:t>
            </w:r>
          </w:p>
        </w:tc>
        <w:tc>
          <w:tcPr>
            <w:tcW w:w="1440" w:type="dxa"/>
            <w:tcBorders>
              <w:top w:val="single" w:sz="4" w:space="0" w:color="BFBFBF" w:themeColor="background1" w:themeShade="BF"/>
              <w:bottom w:val="single" w:sz="4" w:space="0" w:color="BFBFBF" w:themeColor="background1" w:themeShade="BF"/>
            </w:tcBorders>
            <w:shd w:val="clear" w:color="auto" w:fill="auto"/>
            <w:noWrap/>
            <w:vAlign w:val="bottom"/>
          </w:tcPr>
          <w:p w14:paraId="1156F0C8" w14:textId="4EE69688" w:rsidR="00584187" w:rsidRPr="00BE4539" w:rsidRDefault="00584187" w:rsidP="00584187">
            <w:pPr>
              <w:keepNext/>
              <w:jc w:val="center"/>
              <w:rPr>
                <w:rFonts w:ascii="Calibri" w:hAnsi="Calibri"/>
                <w:sz w:val="20"/>
                <w:szCs w:val="20"/>
              </w:rPr>
            </w:pPr>
            <w:r w:rsidRPr="00BE4539">
              <w:rPr>
                <w:rFonts w:ascii="Calibri" w:hAnsi="Calibri"/>
                <w:sz w:val="20"/>
                <w:szCs w:val="20"/>
              </w:rPr>
              <w:t>3,536,956</w:t>
            </w:r>
          </w:p>
        </w:tc>
        <w:tc>
          <w:tcPr>
            <w:tcW w:w="1350" w:type="dxa"/>
            <w:tcBorders>
              <w:top w:val="single" w:sz="4" w:space="0" w:color="BFBFBF" w:themeColor="background1" w:themeShade="BF"/>
              <w:bottom w:val="single" w:sz="4" w:space="0" w:color="BFBFBF" w:themeColor="background1" w:themeShade="BF"/>
            </w:tcBorders>
            <w:shd w:val="clear" w:color="auto" w:fill="auto"/>
            <w:vAlign w:val="bottom"/>
          </w:tcPr>
          <w:p w14:paraId="4F5FF5C2" w14:textId="7EA8F813" w:rsidR="00584187" w:rsidRPr="00BE4539" w:rsidRDefault="00584187" w:rsidP="00584187">
            <w:pPr>
              <w:keepNext/>
              <w:jc w:val="center"/>
              <w:rPr>
                <w:rFonts w:ascii="Calibri" w:hAnsi="Calibri"/>
                <w:sz w:val="20"/>
                <w:szCs w:val="20"/>
              </w:rPr>
            </w:pPr>
            <w:r w:rsidRPr="00BE4539">
              <w:rPr>
                <w:rFonts w:ascii="Calibri" w:hAnsi="Calibri"/>
                <w:sz w:val="20"/>
                <w:szCs w:val="20"/>
              </w:rPr>
              <w:t>3,903,658</w:t>
            </w:r>
          </w:p>
        </w:tc>
        <w:tc>
          <w:tcPr>
            <w:tcW w:w="1440" w:type="dxa"/>
            <w:tcBorders>
              <w:top w:val="single" w:sz="4" w:space="0" w:color="BFBFBF" w:themeColor="background1" w:themeShade="BF"/>
              <w:bottom w:val="single" w:sz="4" w:space="0" w:color="BFBFBF" w:themeColor="background1" w:themeShade="BF"/>
            </w:tcBorders>
            <w:shd w:val="clear" w:color="auto" w:fill="auto"/>
            <w:noWrap/>
            <w:vAlign w:val="bottom"/>
          </w:tcPr>
          <w:p w14:paraId="2F63E9CC" w14:textId="007890D7" w:rsidR="00584187" w:rsidRPr="00BE4539" w:rsidRDefault="00584187" w:rsidP="00584187">
            <w:pPr>
              <w:keepNext/>
              <w:jc w:val="center"/>
              <w:rPr>
                <w:rFonts w:ascii="Calibri" w:hAnsi="Calibri"/>
                <w:sz w:val="20"/>
                <w:szCs w:val="20"/>
              </w:rPr>
            </w:pPr>
            <w:r w:rsidRPr="00BE4539">
              <w:rPr>
                <w:rFonts w:ascii="Calibri" w:hAnsi="Calibri"/>
                <w:sz w:val="20"/>
                <w:szCs w:val="20"/>
              </w:rPr>
              <w:t>4,042,255</w:t>
            </w:r>
          </w:p>
        </w:tc>
        <w:tc>
          <w:tcPr>
            <w:tcW w:w="1260" w:type="dxa"/>
            <w:tcBorders>
              <w:top w:val="single" w:sz="4" w:space="0" w:color="BFBFBF" w:themeColor="background1" w:themeShade="BF"/>
              <w:bottom w:val="single" w:sz="4" w:space="0" w:color="BFBFBF" w:themeColor="background1" w:themeShade="BF"/>
            </w:tcBorders>
            <w:shd w:val="clear" w:color="auto" w:fill="auto"/>
            <w:vAlign w:val="bottom"/>
          </w:tcPr>
          <w:p w14:paraId="270CF42E" w14:textId="14268151" w:rsidR="00584187" w:rsidRPr="00BE4539" w:rsidRDefault="005E5463" w:rsidP="00584187">
            <w:pPr>
              <w:keepNext/>
              <w:jc w:val="center"/>
              <w:rPr>
                <w:rFonts w:ascii="Calibri" w:hAnsi="Calibri"/>
                <w:sz w:val="20"/>
                <w:szCs w:val="20"/>
              </w:rPr>
            </w:pPr>
            <w:r w:rsidRPr="005E5463">
              <w:rPr>
                <w:rFonts w:ascii="Calibri" w:hAnsi="Calibri"/>
                <w:sz w:val="20"/>
                <w:szCs w:val="20"/>
              </w:rPr>
              <w:t>4,123,912</w:t>
            </w:r>
          </w:p>
        </w:tc>
      </w:tr>
      <w:tr w:rsidR="00584187" w:rsidRPr="00BE4539" w14:paraId="49B1C2E2" w14:textId="77777777" w:rsidTr="001C42F5">
        <w:trPr>
          <w:cantSplit/>
          <w:trHeight w:val="302"/>
          <w:jc w:val="center"/>
        </w:trPr>
        <w:tc>
          <w:tcPr>
            <w:tcW w:w="3780" w:type="dxa"/>
            <w:tcBorders>
              <w:bottom w:val="single" w:sz="4" w:space="0" w:color="BFBFBF" w:themeColor="background1" w:themeShade="BF"/>
              <w:right w:val="single" w:sz="4" w:space="0" w:color="BFBFBF" w:themeColor="background1" w:themeShade="BF"/>
            </w:tcBorders>
            <w:shd w:val="clear" w:color="auto" w:fill="auto"/>
            <w:noWrap/>
            <w:vAlign w:val="center"/>
          </w:tcPr>
          <w:p w14:paraId="1F486CA8" w14:textId="77777777" w:rsidR="00584187" w:rsidRPr="00BE4539" w:rsidRDefault="00584187" w:rsidP="00584187">
            <w:pPr>
              <w:keepNext/>
              <w:jc w:val="right"/>
              <w:rPr>
                <w:rFonts w:ascii="Calibri" w:eastAsia="Times New Roman" w:hAnsi="Calibri" w:cs="Arial"/>
                <w:sz w:val="20"/>
                <w:szCs w:val="20"/>
              </w:rPr>
            </w:pPr>
            <w:r w:rsidRPr="00BE4539">
              <w:rPr>
                <w:rFonts w:ascii="Calibri" w:eastAsia="Times New Roman" w:hAnsi="Calibri" w:cs="Arial"/>
                <w:sz w:val="20"/>
                <w:szCs w:val="20"/>
              </w:rPr>
              <w:lastRenderedPageBreak/>
              <w:t>% of Unrestricted GF Revenues Total</w:t>
            </w:r>
          </w:p>
        </w:tc>
        <w:tc>
          <w:tcPr>
            <w:tcW w:w="1350" w:type="dxa"/>
            <w:tcBorders>
              <w:top w:val="single" w:sz="4" w:space="0" w:color="BFBFBF" w:themeColor="background1" w:themeShade="BF"/>
              <w:left w:val="single" w:sz="4" w:space="0" w:color="BFBFBF" w:themeColor="background1" w:themeShade="BF"/>
            </w:tcBorders>
            <w:shd w:val="clear" w:color="auto" w:fill="auto"/>
            <w:noWrap/>
            <w:vAlign w:val="bottom"/>
          </w:tcPr>
          <w:p w14:paraId="387D1A7C" w14:textId="761EB6FF" w:rsidR="00584187" w:rsidRPr="00BE4539" w:rsidRDefault="00584187" w:rsidP="00584187">
            <w:pPr>
              <w:keepNext/>
              <w:jc w:val="center"/>
              <w:rPr>
                <w:rFonts w:ascii="Calibri" w:hAnsi="Calibri"/>
                <w:sz w:val="20"/>
                <w:szCs w:val="20"/>
              </w:rPr>
            </w:pPr>
            <w:r w:rsidRPr="00BE4539">
              <w:rPr>
                <w:rFonts w:ascii="Calibri" w:hAnsi="Calibri"/>
                <w:sz w:val="20"/>
                <w:szCs w:val="20"/>
              </w:rPr>
              <w:t>1.3%</w:t>
            </w:r>
          </w:p>
        </w:tc>
        <w:tc>
          <w:tcPr>
            <w:tcW w:w="1440" w:type="dxa"/>
            <w:tcBorders>
              <w:top w:val="single" w:sz="4" w:space="0" w:color="BFBFBF" w:themeColor="background1" w:themeShade="BF"/>
            </w:tcBorders>
            <w:shd w:val="clear" w:color="auto" w:fill="auto"/>
            <w:noWrap/>
            <w:vAlign w:val="bottom"/>
          </w:tcPr>
          <w:p w14:paraId="326DDC64" w14:textId="4BEEB640" w:rsidR="00584187" w:rsidRPr="00BE4539" w:rsidRDefault="00584187" w:rsidP="00584187">
            <w:pPr>
              <w:keepNext/>
              <w:jc w:val="center"/>
              <w:rPr>
                <w:rFonts w:ascii="Calibri" w:hAnsi="Calibri"/>
                <w:sz w:val="20"/>
                <w:szCs w:val="20"/>
              </w:rPr>
            </w:pPr>
            <w:r w:rsidRPr="00BE4539">
              <w:rPr>
                <w:rFonts w:ascii="Calibri" w:hAnsi="Calibri"/>
                <w:sz w:val="20"/>
                <w:szCs w:val="20"/>
              </w:rPr>
              <w:t>2.0%</w:t>
            </w:r>
          </w:p>
        </w:tc>
        <w:tc>
          <w:tcPr>
            <w:tcW w:w="1350" w:type="dxa"/>
            <w:tcBorders>
              <w:top w:val="single" w:sz="4" w:space="0" w:color="BFBFBF" w:themeColor="background1" w:themeShade="BF"/>
            </w:tcBorders>
            <w:shd w:val="clear" w:color="auto" w:fill="auto"/>
            <w:vAlign w:val="bottom"/>
          </w:tcPr>
          <w:p w14:paraId="3BACBDE6" w14:textId="6A9A649B" w:rsidR="00584187" w:rsidRPr="00BE4539" w:rsidRDefault="00584187" w:rsidP="00584187">
            <w:pPr>
              <w:keepNext/>
              <w:jc w:val="center"/>
              <w:rPr>
                <w:rFonts w:ascii="Calibri" w:hAnsi="Calibri"/>
                <w:sz w:val="20"/>
                <w:szCs w:val="20"/>
              </w:rPr>
            </w:pPr>
            <w:r w:rsidRPr="00BE4539">
              <w:rPr>
                <w:rFonts w:ascii="Calibri" w:hAnsi="Calibri"/>
                <w:sz w:val="20"/>
                <w:szCs w:val="20"/>
              </w:rPr>
              <w:t>2.0%</w:t>
            </w:r>
          </w:p>
        </w:tc>
        <w:tc>
          <w:tcPr>
            <w:tcW w:w="1440" w:type="dxa"/>
            <w:tcBorders>
              <w:top w:val="single" w:sz="4" w:space="0" w:color="BFBFBF" w:themeColor="background1" w:themeShade="BF"/>
            </w:tcBorders>
            <w:shd w:val="clear" w:color="auto" w:fill="auto"/>
            <w:noWrap/>
            <w:vAlign w:val="bottom"/>
          </w:tcPr>
          <w:p w14:paraId="6CFDE4A9" w14:textId="1EBC19C3" w:rsidR="00584187" w:rsidRPr="00BE4539" w:rsidRDefault="00584187" w:rsidP="00584187">
            <w:pPr>
              <w:keepNext/>
              <w:jc w:val="center"/>
              <w:rPr>
                <w:rFonts w:ascii="Calibri" w:hAnsi="Calibri"/>
                <w:sz w:val="20"/>
                <w:szCs w:val="20"/>
              </w:rPr>
            </w:pPr>
            <w:r w:rsidRPr="00BE4539">
              <w:rPr>
                <w:rFonts w:ascii="Calibri" w:hAnsi="Calibri"/>
                <w:sz w:val="20"/>
                <w:szCs w:val="20"/>
              </w:rPr>
              <w:t>1.8%</w:t>
            </w:r>
          </w:p>
        </w:tc>
        <w:tc>
          <w:tcPr>
            <w:tcW w:w="1260" w:type="dxa"/>
            <w:tcBorders>
              <w:top w:val="single" w:sz="4" w:space="0" w:color="BFBFBF" w:themeColor="background1" w:themeShade="BF"/>
            </w:tcBorders>
            <w:shd w:val="clear" w:color="auto" w:fill="auto"/>
            <w:vAlign w:val="bottom"/>
          </w:tcPr>
          <w:p w14:paraId="633A2BDE" w14:textId="3AB4C929" w:rsidR="00584187" w:rsidRPr="00BE4539" w:rsidRDefault="005E5463" w:rsidP="00584187">
            <w:pPr>
              <w:keepNext/>
              <w:jc w:val="center"/>
              <w:rPr>
                <w:rFonts w:ascii="Calibri" w:hAnsi="Calibri"/>
                <w:sz w:val="20"/>
                <w:szCs w:val="20"/>
              </w:rPr>
            </w:pPr>
            <w:r w:rsidRPr="005E5463">
              <w:rPr>
                <w:rFonts w:ascii="Calibri" w:hAnsi="Calibri"/>
                <w:sz w:val="20"/>
                <w:szCs w:val="20"/>
              </w:rPr>
              <w:t>2.1%</w:t>
            </w:r>
          </w:p>
        </w:tc>
      </w:tr>
      <w:tr w:rsidR="00584187" w:rsidRPr="00BE4539" w14:paraId="1EE6EE21" w14:textId="77777777" w:rsidTr="001C42F5">
        <w:trPr>
          <w:cantSplit/>
          <w:trHeight w:val="302"/>
          <w:jc w:val="center"/>
        </w:trPr>
        <w:tc>
          <w:tcPr>
            <w:tcW w:w="3780" w:type="dxa"/>
            <w:tcBorders>
              <w:top w:val="single" w:sz="4" w:space="0" w:color="BFBFBF" w:themeColor="background1" w:themeShade="BF"/>
              <w:right w:val="single" w:sz="4" w:space="0" w:color="BFBFBF" w:themeColor="background1" w:themeShade="BF"/>
            </w:tcBorders>
            <w:shd w:val="clear" w:color="auto" w:fill="auto"/>
            <w:noWrap/>
            <w:vAlign w:val="center"/>
          </w:tcPr>
          <w:p w14:paraId="438E2CC5" w14:textId="77777777" w:rsidR="00584187" w:rsidRPr="00BE4539" w:rsidRDefault="00584187" w:rsidP="00584187">
            <w:pPr>
              <w:keepNext/>
              <w:rPr>
                <w:rFonts w:ascii="Calibri" w:eastAsia="Times New Roman" w:hAnsi="Calibri" w:cs="Arial"/>
                <w:sz w:val="20"/>
                <w:szCs w:val="20"/>
              </w:rPr>
            </w:pPr>
            <w:r>
              <w:rPr>
                <w:rFonts w:ascii="Calibri" w:eastAsia="Times New Roman" w:hAnsi="Calibri" w:cs="Arial"/>
                <w:sz w:val="20"/>
                <w:szCs w:val="20"/>
              </w:rPr>
              <w:t>Admin 9</w:t>
            </w:r>
          </w:p>
        </w:tc>
        <w:tc>
          <w:tcPr>
            <w:tcW w:w="1350" w:type="dxa"/>
            <w:tcBorders>
              <w:top w:val="single" w:sz="4" w:space="0" w:color="BFBFBF" w:themeColor="background1" w:themeShade="BF"/>
              <w:left w:val="single" w:sz="4" w:space="0" w:color="BFBFBF" w:themeColor="background1" w:themeShade="BF"/>
            </w:tcBorders>
            <w:shd w:val="clear" w:color="auto" w:fill="auto"/>
            <w:noWrap/>
            <w:vAlign w:val="bottom"/>
          </w:tcPr>
          <w:p w14:paraId="40586525" w14:textId="5B0FE01F" w:rsidR="00584187" w:rsidRPr="0098744D" w:rsidRDefault="00584187" w:rsidP="00584187">
            <w:pPr>
              <w:keepNext/>
              <w:jc w:val="center"/>
              <w:rPr>
                <w:rFonts w:ascii="Calibri" w:hAnsi="Calibri"/>
                <w:sz w:val="20"/>
                <w:szCs w:val="20"/>
              </w:rPr>
            </w:pPr>
            <w:r w:rsidRPr="0098744D">
              <w:rPr>
                <w:rFonts w:ascii="Calibri" w:hAnsi="Calibri"/>
                <w:sz w:val="20"/>
                <w:szCs w:val="20"/>
              </w:rPr>
              <w:t xml:space="preserve">19,425,528 </w:t>
            </w:r>
          </w:p>
        </w:tc>
        <w:tc>
          <w:tcPr>
            <w:tcW w:w="1440" w:type="dxa"/>
            <w:tcBorders>
              <w:top w:val="single" w:sz="4" w:space="0" w:color="BFBFBF" w:themeColor="background1" w:themeShade="BF"/>
            </w:tcBorders>
            <w:shd w:val="clear" w:color="auto" w:fill="auto"/>
            <w:noWrap/>
            <w:vAlign w:val="bottom"/>
          </w:tcPr>
          <w:p w14:paraId="1A2D25A5" w14:textId="6170165D" w:rsidR="00584187" w:rsidRPr="0098744D" w:rsidRDefault="00584187" w:rsidP="00584187">
            <w:pPr>
              <w:keepNext/>
              <w:jc w:val="center"/>
              <w:rPr>
                <w:rFonts w:ascii="Calibri" w:hAnsi="Calibri"/>
                <w:sz w:val="20"/>
                <w:szCs w:val="20"/>
              </w:rPr>
            </w:pPr>
            <w:r w:rsidRPr="0098744D">
              <w:rPr>
                <w:rFonts w:ascii="Calibri" w:hAnsi="Calibri"/>
                <w:sz w:val="20"/>
                <w:szCs w:val="20"/>
              </w:rPr>
              <w:t xml:space="preserve">22,524,772 </w:t>
            </w:r>
          </w:p>
        </w:tc>
        <w:tc>
          <w:tcPr>
            <w:tcW w:w="1350" w:type="dxa"/>
            <w:tcBorders>
              <w:top w:val="single" w:sz="4" w:space="0" w:color="BFBFBF" w:themeColor="background1" w:themeShade="BF"/>
            </w:tcBorders>
            <w:shd w:val="clear" w:color="auto" w:fill="auto"/>
            <w:vAlign w:val="bottom"/>
          </w:tcPr>
          <w:p w14:paraId="5109DF51" w14:textId="1DF9FCFE" w:rsidR="00584187" w:rsidRPr="0098744D" w:rsidRDefault="00584187" w:rsidP="00584187">
            <w:pPr>
              <w:keepNext/>
              <w:jc w:val="center"/>
              <w:rPr>
                <w:rFonts w:ascii="Calibri" w:hAnsi="Calibri"/>
                <w:sz w:val="20"/>
                <w:szCs w:val="20"/>
              </w:rPr>
            </w:pPr>
            <w:r w:rsidRPr="0098744D">
              <w:rPr>
                <w:rFonts w:ascii="Calibri" w:hAnsi="Calibri"/>
                <w:sz w:val="20"/>
                <w:szCs w:val="20"/>
              </w:rPr>
              <w:t xml:space="preserve">24,253,609 </w:t>
            </w:r>
          </w:p>
        </w:tc>
        <w:tc>
          <w:tcPr>
            <w:tcW w:w="1440" w:type="dxa"/>
            <w:tcBorders>
              <w:top w:val="single" w:sz="4" w:space="0" w:color="BFBFBF" w:themeColor="background1" w:themeShade="BF"/>
            </w:tcBorders>
            <w:shd w:val="clear" w:color="auto" w:fill="auto"/>
            <w:noWrap/>
            <w:vAlign w:val="bottom"/>
          </w:tcPr>
          <w:p w14:paraId="02C8FEFF" w14:textId="21B42C5D" w:rsidR="00584187" w:rsidRPr="0098744D" w:rsidRDefault="00584187" w:rsidP="00584187">
            <w:pPr>
              <w:keepNext/>
              <w:jc w:val="center"/>
              <w:rPr>
                <w:rFonts w:ascii="Calibri" w:hAnsi="Calibri"/>
                <w:sz w:val="20"/>
                <w:szCs w:val="20"/>
              </w:rPr>
            </w:pPr>
            <w:r w:rsidRPr="0098744D">
              <w:rPr>
                <w:rFonts w:ascii="Calibri" w:hAnsi="Calibri"/>
                <w:sz w:val="20"/>
                <w:szCs w:val="20"/>
              </w:rPr>
              <w:t xml:space="preserve">26,061,272 </w:t>
            </w:r>
          </w:p>
        </w:tc>
        <w:tc>
          <w:tcPr>
            <w:tcW w:w="1260" w:type="dxa"/>
            <w:tcBorders>
              <w:top w:val="single" w:sz="4" w:space="0" w:color="BFBFBF" w:themeColor="background1" w:themeShade="BF"/>
            </w:tcBorders>
            <w:shd w:val="clear" w:color="auto" w:fill="auto"/>
            <w:vAlign w:val="bottom"/>
          </w:tcPr>
          <w:p w14:paraId="73EB2492" w14:textId="5B0AF50E" w:rsidR="00584187" w:rsidRPr="0098744D" w:rsidRDefault="005E5463" w:rsidP="00584187">
            <w:pPr>
              <w:keepNext/>
              <w:jc w:val="center"/>
              <w:rPr>
                <w:rFonts w:ascii="Calibri" w:hAnsi="Calibri"/>
                <w:sz w:val="20"/>
                <w:szCs w:val="20"/>
              </w:rPr>
            </w:pPr>
            <w:r w:rsidRPr="005E5463">
              <w:rPr>
                <w:rFonts w:ascii="Calibri" w:hAnsi="Calibri"/>
                <w:sz w:val="20"/>
                <w:szCs w:val="20"/>
              </w:rPr>
              <w:t>28,052,162</w:t>
            </w:r>
          </w:p>
        </w:tc>
      </w:tr>
      <w:tr w:rsidR="00584187" w:rsidRPr="00BE4539" w14:paraId="6FB6715E" w14:textId="77777777" w:rsidTr="001C42F5">
        <w:trPr>
          <w:cantSplit/>
          <w:trHeight w:val="302"/>
          <w:jc w:val="center"/>
        </w:trPr>
        <w:tc>
          <w:tcPr>
            <w:tcW w:w="3780" w:type="dxa"/>
            <w:tcBorders>
              <w:right w:val="single" w:sz="4" w:space="0" w:color="BFBFBF" w:themeColor="background1" w:themeShade="BF"/>
            </w:tcBorders>
            <w:shd w:val="clear" w:color="auto" w:fill="auto"/>
            <w:noWrap/>
            <w:vAlign w:val="center"/>
          </w:tcPr>
          <w:p w14:paraId="1C4A2090" w14:textId="77777777" w:rsidR="00584187" w:rsidRDefault="00584187" w:rsidP="00584187">
            <w:pPr>
              <w:keepNext/>
              <w:jc w:val="right"/>
              <w:rPr>
                <w:rFonts w:ascii="Calibri" w:eastAsia="Times New Roman" w:hAnsi="Calibri" w:cs="Arial"/>
                <w:sz w:val="20"/>
                <w:szCs w:val="20"/>
              </w:rPr>
            </w:pPr>
            <w:r w:rsidRPr="00BE4539">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tcBorders>
            <w:shd w:val="clear" w:color="auto" w:fill="auto"/>
            <w:noWrap/>
            <w:vAlign w:val="bottom"/>
          </w:tcPr>
          <w:p w14:paraId="62CFED1B" w14:textId="3A5B174F" w:rsidR="00584187" w:rsidRPr="0098744D" w:rsidRDefault="00584187" w:rsidP="00584187">
            <w:pPr>
              <w:keepNext/>
              <w:jc w:val="center"/>
              <w:rPr>
                <w:rFonts w:ascii="Calibri" w:hAnsi="Calibri"/>
                <w:sz w:val="20"/>
                <w:szCs w:val="20"/>
              </w:rPr>
            </w:pPr>
            <w:r w:rsidRPr="0098744D">
              <w:rPr>
                <w:rFonts w:ascii="Calibri" w:hAnsi="Calibri"/>
                <w:sz w:val="20"/>
                <w:szCs w:val="20"/>
              </w:rPr>
              <w:t>10.7%</w:t>
            </w:r>
          </w:p>
        </w:tc>
        <w:tc>
          <w:tcPr>
            <w:tcW w:w="1440" w:type="dxa"/>
            <w:tcBorders>
              <w:top w:val="single" w:sz="4" w:space="0" w:color="BFBFBF" w:themeColor="background1" w:themeShade="BF"/>
            </w:tcBorders>
            <w:shd w:val="clear" w:color="auto" w:fill="auto"/>
            <w:noWrap/>
            <w:vAlign w:val="bottom"/>
          </w:tcPr>
          <w:p w14:paraId="5DC818DF" w14:textId="57C7DE28" w:rsidR="00584187" w:rsidRPr="0098744D" w:rsidRDefault="00584187" w:rsidP="00584187">
            <w:pPr>
              <w:keepNext/>
              <w:jc w:val="center"/>
              <w:rPr>
                <w:rFonts w:ascii="Calibri" w:hAnsi="Calibri"/>
                <w:sz w:val="20"/>
                <w:szCs w:val="20"/>
              </w:rPr>
            </w:pPr>
            <w:r w:rsidRPr="0098744D">
              <w:rPr>
                <w:rFonts w:ascii="Calibri" w:hAnsi="Calibri"/>
                <w:sz w:val="20"/>
                <w:szCs w:val="20"/>
              </w:rPr>
              <w:t>12.6%</w:t>
            </w:r>
          </w:p>
        </w:tc>
        <w:tc>
          <w:tcPr>
            <w:tcW w:w="1350" w:type="dxa"/>
            <w:tcBorders>
              <w:top w:val="single" w:sz="4" w:space="0" w:color="BFBFBF" w:themeColor="background1" w:themeShade="BF"/>
            </w:tcBorders>
            <w:shd w:val="clear" w:color="auto" w:fill="auto"/>
            <w:vAlign w:val="bottom"/>
          </w:tcPr>
          <w:p w14:paraId="606F0AB6" w14:textId="5C6ED64F" w:rsidR="00584187" w:rsidRPr="0098744D" w:rsidRDefault="00584187" w:rsidP="00584187">
            <w:pPr>
              <w:keepNext/>
              <w:jc w:val="center"/>
              <w:rPr>
                <w:rFonts w:ascii="Calibri" w:hAnsi="Calibri"/>
                <w:sz w:val="20"/>
                <w:szCs w:val="20"/>
              </w:rPr>
            </w:pPr>
            <w:r w:rsidRPr="0098744D">
              <w:rPr>
                <w:rFonts w:ascii="Calibri" w:hAnsi="Calibri"/>
                <w:sz w:val="20"/>
                <w:szCs w:val="20"/>
              </w:rPr>
              <w:t>12.7%</w:t>
            </w:r>
          </w:p>
        </w:tc>
        <w:tc>
          <w:tcPr>
            <w:tcW w:w="1440" w:type="dxa"/>
            <w:tcBorders>
              <w:top w:val="single" w:sz="4" w:space="0" w:color="BFBFBF" w:themeColor="background1" w:themeShade="BF"/>
            </w:tcBorders>
            <w:shd w:val="clear" w:color="auto" w:fill="auto"/>
            <w:noWrap/>
            <w:vAlign w:val="bottom"/>
          </w:tcPr>
          <w:p w14:paraId="1EFAD0F2" w14:textId="2F3D4A4C" w:rsidR="00584187" w:rsidRPr="0098744D" w:rsidRDefault="00584187" w:rsidP="00584187">
            <w:pPr>
              <w:keepNext/>
              <w:jc w:val="center"/>
              <w:rPr>
                <w:rFonts w:ascii="Calibri" w:hAnsi="Calibri"/>
                <w:sz w:val="20"/>
                <w:szCs w:val="20"/>
              </w:rPr>
            </w:pPr>
            <w:r w:rsidRPr="0098744D">
              <w:rPr>
                <w:rFonts w:ascii="Calibri" w:hAnsi="Calibri"/>
                <w:sz w:val="20"/>
                <w:szCs w:val="20"/>
              </w:rPr>
              <w:t>11.6%</w:t>
            </w:r>
          </w:p>
        </w:tc>
        <w:tc>
          <w:tcPr>
            <w:tcW w:w="1260" w:type="dxa"/>
            <w:tcBorders>
              <w:top w:val="single" w:sz="4" w:space="0" w:color="BFBFBF" w:themeColor="background1" w:themeShade="BF"/>
            </w:tcBorders>
            <w:shd w:val="clear" w:color="auto" w:fill="auto"/>
            <w:vAlign w:val="bottom"/>
          </w:tcPr>
          <w:p w14:paraId="172E8BD0" w14:textId="4D6930E1" w:rsidR="00584187" w:rsidRPr="0098744D" w:rsidRDefault="005E5463" w:rsidP="00584187">
            <w:pPr>
              <w:keepNext/>
              <w:jc w:val="center"/>
              <w:rPr>
                <w:rFonts w:ascii="Calibri" w:hAnsi="Calibri"/>
                <w:sz w:val="20"/>
                <w:szCs w:val="20"/>
              </w:rPr>
            </w:pPr>
            <w:r w:rsidRPr="005E5463">
              <w:rPr>
                <w:rFonts w:ascii="Calibri" w:hAnsi="Calibri"/>
                <w:sz w:val="20"/>
                <w:szCs w:val="20"/>
              </w:rPr>
              <w:t>13.2%</w:t>
            </w:r>
          </w:p>
        </w:tc>
      </w:tr>
      <w:tr w:rsidR="00584187" w:rsidRPr="00BE4539" w14:paraId="0FB74064" w14:textId="77777777" w:rsidTr="001C42F5">
        <w:trPr>
          <w:cantSplit/>
          <w:trHeight w:val="302"/>
          <w:jc w:val="center"/>
        </w:trPr>
        <w:tc>
          <w:tcPr>
            <w:tcW w:w="3780" w:type="dxa"/>
            <w:tcBorders>
              <w:right w:val="single" w:sz="4" w:space="0" w:color="BFBFBF" w:themeColor="background1" w:themeShade="BF"/>
            </w:tcBorders>
            <w:shd w:val="clear" w:color="auto" w:fill="D9D9D9" w:themeFill="background1" w:themeFillShade="D9"/>
            <w:noWrap/>
            <w:vAlign w:val="center"/>
          </w:tcPr>
          <w:p w14:paraId="452815F0" w14:textId="77777777" w:rsidR="00584187" w:rsidRPr="00BE4539" w:rsidRDefault="00584187" w:rsidP="00584187">
            <w:pPr>
              <w:keepNext/>
              <w:rPr>
                <w:rFonts w:ascii="Calibri" w:eastAsia="Times New Roman" w:hAnsi="Calibri" w:cs="Arial"/>
                <w:sz w:val="20"/>
                <w:szCs w:val="20"/>
              </w:rPr>
            </w:pPr>
            <w:r w:rsidRPr="00BE4539">
              <w:rPr>
                <w:rFonts w:ascii="Calibri" w:eastAsia="Times New Roman" w:hAnsi="Calibri" w:cs="Arial"/>
                <w:sz w:val="20"/>
                <w:szCs w:val="20"/>
              </w:rPr>
              <w:t>District-wide (DW) Total</w:t>
            </w:r>
          </w:p>
        </w:tc>
        <w:tc>
          <w:tcPr>
            <w:tcW w:w="1350" w:type="dxa"/>
            <w:tcBorders>
              <w:left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2DDE7C85" w14:textId="15711658" w:rsidR="00584187" w:rsidRPr="0098744D" w:rsidRDefault="00584187" w:rsidP="00584187">
            <w:pPr>
              <w:keepNext/>
              <w:jc w:val="center"/>
              <w:rPr>
                <w:rFonts w:ascii="Calibri" w:hAnsi="Calibri"/>
                <w:sz w:val="20"/>
                <w:szCs w:val="20"/>
              </w:rPr>
            </w:pPr>
            <w:r w:rsidRPr="0098744D">
              <w:rPr>
                <w:rFonts w:ascii="Calibri" w:hAnsi="Calibri"/>
                <w:sz w:val="20"/>
                <w:szCs w:val="20"/>
              </w:rPr>
              <w:t>45,209,295</w:t>
            </w:r>
          </w:p>
        </w:tc>
        <w:tc>
          <w:tcPr>
            <w:tcW w:w="1440" w:type="dxa"/>
            <w:tcBorders>
              <w:bottom w:val="single" w:sz="4" w:space="0" w:color="BFBFBF" w:themeColor="background1" w:themeShade="BF"/>
            </w:tcBorders>
            <w:shd w:val="clear" w:color="auto" w:fill="D9D9D9" w:themeFill="background1" w:themeFillShade="D9"/>
            <w:noWrap/>
            <w:vAlign w:val="bottom"/>
          </w:tcPr>
          <w:p w14:paraId="4B5BB61C" w14:textId="0AE8E570" w:rsidR="00584187" w:rsidRPr="0098744D" w:rsidRDefault="00584187" w:rsidP="00584187">
            <w:pPr>
              <w:keepNext/>
              <w:jc w:val="center"/>
              <w:rPr>
                <w:rFonts w:ascii="Calibri" w:hAnsi="Calibri"/>
                <w:sz w:val="20"/>
                <w:szCs w:val="20"/>
              </w:rPr>
            </w:pPr>
            <w:r w:rsidRPr="0098744D">
              <w:rPr>
                <w:rFonts w:ascii="Calibri" w:hAnsi="Calibri"/>
                <w:sz w:val="20"/>
                <w:szCs w:val="20"/>
              </w:rPr>
              <w:t>48,597,843</w:t>
            </w:r>
          </w:p>
        </w:tc>
        <w:tc>
          <w:tcPr>
            <w:tcW w:w="1350" w:type="dxa"/>
            <w:tcBorders>
              <w:bottom w:val="single" w:sz="4" w:space="0" w:color="BFBFBF" w:themeColor="background1" w:themeShade="BF"/>
            </w:tcBorders>
            <w:shd w:val="clear" w:color="auto" w:fill="D9D9D9" w:themeFill="background1" w:themeFillShade="D9"/>
            <w:vAlign w:val="bottom"/>
          </w:tcPr>
          <w:p w14:paraId="18662811" w14:textId="3528F2E2" w:rsidR="00584187" w:rsidRPr="0098744D" w:rsidRDefault="00584187" w:rsidP="00584187">
            <w:pPr>
              <w:keepNext/>
              <w:jc w:val="center"/>
              <w:rPr>
                <w:rFonts w:ascii="Calibri" w:hAnsi="Calibri"/>
                <w:sz w:val="20"/>
                <w:szCs w:val="20"/>
              </w:rPr>
            </w:pPr>
            <w:r w:rsidRPr="0098744D">
              <w:rPr>
                <w:rFonts w:ascii="Calibri" w:hAnsi="Calibri"/>
                <w:sz w:val="20"/>
                <w:szCs w:val="20"/>
              </w:rPr>
              <w:t>53,799,680</w:t>
            </w:r>
          </w:p>
        </w:tc>
        <w:tc>
          <w:tcPr>
            <w:tcW w:w="1440" w:type="dxa"/>
            <w:tcBorders>
              <w:bottom w:val="single" w:sz="4" w:space="0" w:color="BFBFBF" w:themeColor="background1" w:themeShade="BF"/>
            </w:tcBorders>
            <w:shd w:val="clear" w:color="auto" w:fill="D9D9D9" w:themeFill="background1" w:themeFillShade="D9"/>
            <w:noWrap/>
            <w:vAlign w:val="bottom"/>
          </w:tcPr>
          <w:p w14:paraId="221BCA20" w14:textId="6F6E545E" w:rsidR="00584187" w:rsidRPr="0098744D" w:rsidRDefault="00584187" w:rsidP="00584187">
            <w:pPr>
              <w:keepNext/>
              <w:jc w:val="center"/>
              <w:rPr>
                <w:rFonts w:ascii="Calibri" w:hAnsi="Calibri"/>
                <w:sz w:val="20"/>
                <w:szCs w:val="20"/>
              </w:rPr>
            </w:pPr>
            <w:r w:rsidRPr="0098744D">
              <w:rPr>
                <w:rFonts w:ascii="Calibri" w:hAnsi="Calibri"/>
                <w:sz w:val="20"/>
                <w:szCs w:val="20"/>
              </w:rPr>
              <w:t>57,148,135</w:t>
            </w:r>
          </w:p>
        </w:tc>
        <w:tc>
          <w:tcPr>
            <w:tcW w:w="1260" w:type="dxa"/>
            <w:tcBorders>
              <w:bottom w:val="single" w:sz="4" w:space="0" w:color="BFBFBF" w:themeColor="background1" w:themeShade="BF"/>
            </w:tcBorders>
            <w:shd w:val="clear" w:color="auto" w:fill="D9D9D9" w:themeFill="background1" w:themeFillShade="D9"/>
            <w:vAlign w:val="bottom"/>
          </w:tcPr>
          <w:p w14:paraId="1F25FF13" w14:textId="27B2D9AF" w:rsidR="00584187" w:rsidRPr="0098744D" w:rsidRDefault="005E5463" w:rsidP="00584187">
            <w:pPr>
              <w:keepNext/>
              <w:jc w:val="center"/>
              <w:rPr>
                <w:rFonts w:ascii="Calibri" w:hAnsi="Calibri"/>
                <w:sz w:val="20"/>
                <w:szCs w:val="20"/>
              </w:rPr>
            </w:pPr>
            <w:r w:rsidRPr="005E5463">
              <w:rPr>
                <w:rFonts w:ascii="Calibri" w:hAnsi="Calibri"/>
                <w:sz w:val="20"/>
                <w:szCs w:val="20"/>
              </w:rPr>
              <w:t>61,111,873</w:t>
            </w:r>
          </w:p>
        </w:tc>
      </w:tr>
      <w:tr w:rsidR="00584187" w:rsidRPr="00BE4539" w14:paraId="7748A52F" w14:textId="77777777" w:rsidTr="001C42F5">
        <w:trPr>
          <w:cantSplit/>
          <w:trHeight w:val="302"/>
          <w:jc w:val="center"/>
        </w:trPr>
        <w:tc>
          <w:tcPr>
            <w:tcW w:w="3780" w:type="dxa"/>
            <w:tcBorders>
              <w:right w:val="single" w:sz="4" w:space="0" w:color="BFBFBF" w:themeColor="background1" w:themeShade="BF"/>
            </w:tcBorders>
            <w:shd w:val="clear" w:color="auto" w:fill="D9D9D9" w:themeFill="background1" w:themeFillShade="D9"/>
            <w:noWrap/>
            <w:vAlign w:val="center"/>
          </w:tcPr>
          <w:p w14:paraId="042DF08F" w14:textId="77777777" w:rsidR="00584187" w:rsidRPr="00BE4539" w:rsidRDefault="00584187" w:rsidP="00584187">
            <w:pPr>
              <w:keepNext/>
              <w:jc w:val="right"/>
              <w:rPr>
                <w:rFonts w:ascii="Calibri" w:eastAsia="Times New Roman" w:hAnsi="Calibri" w:cs="Arial"/>
                <w:sz w:val="20"/>
                <w:szCs w:val="20"/>
              </w:rPr>
            </w:pPr>
            <w:r w:rsidRPr="00BE4539">
              <w:rPr>
                <w:rFonts w:ascii="Calibri" w:eastAsia="Times New Roman" w:hAnsi="Calibri" w:cs="Arial"/>
                <w:sz w:val="20"/>
                <w:szCs w:val="20"/>
              </w:rPr>
              <w:t>% of 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71724236" w14:textId="1574D07B" w:rsidR="00584187" w:rsidRPr="0098744D" w:rsidRDefault="00584187" w:rsidP="00584187">
            <w:pPr>
              <w:keepNext/>
              <w:jc w:val="center"/>
              <w:rPr>
                <w:rFonts w:ascii="Calibri" w:hAnsi="Calibri"/>
                <w:sz w:val="20"/>
                <w:szCs w:val="20"/>
              </w:rPr>
            </w:pPr>
            <w:r w:rsidRPr="0098744D">
              <w:rPr>
                <w:rFonts w:ascii="Calibri" w:hAnsi="Calibri"/>
                <w:sz w:val="20"/>
                <w:szCs w:val="20"/>
              </w:rPr>
              <w:t>24.9%</w:t>
            </w:r>
          </w:p>
        </w:tc>
        <w:tc>
          <w:tcPr>
            <w:tcW w:w="1440"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47630E86" w14:textId="5D89FFFA" w:rsidR="00584187" w:rsidRPr="0098744D" w:rsidRDefault="00584187" w:rsidP="00584187">
            <w:pPr>
              <w:keepNext/>
              <w:jc w:val="center"/>
              <w:rPr>
                <w:rFonts w:ascii="Calibri" w:hAnsi="Calibri"/>
                <w:sz w:val="20"/>
                <w:szCs w:val="20"/>
              </w:rPr>
            </w:pPr>
            <w:r w:rsidRPr="0098744D">
              <w:rPr>
                <w:rFonts w:ascii="Calibri" w:hAnsi="Calibri"/>
                <w:sz w:val="20"/>
                <w:szCs w:val="20"/>
              </w:rPr>
              <w:t>27.1%</w:t>
            </w:r>
          </w:p>
        </w:tc>
        <w:tc>
          <w:tcPr>
            <w:tcW w:w="1350"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bottom"/>
          </w:tcPr>
          <w:p w14:paraId="3E30FCBA" w14:textId="0770B180" w:rsidR="00584187" w:rsidRPr="0098744D" w:rsidRDefault="00584187" w:rsidP="00584187">
            <w:pPr>
              <w:keepNext/>
              <w:jc w:val="center"/>
              <w:rPr>
                <w:rFonts w:ascii="Calibri" w:hAnsi="Calibri"/>
                <w:sz w:val="20"/>
                <w:szCs w:val="20"/>
              </w:rPr>
            </w:pPr>
            <w:r w:rsidRPr="0098744D">
              <w:rPr>
                <w:rFonts w:ascii="Calibri" w:hAnsi="Calibri"/>
                <w:sz w:val="20"/>
                <w:szCs w:val="20"/>
              </w:rPr>
              <w:t>28.2%</w:t>
            </w:r>
          </w:p>
        </w:tc>
        <w:tc>
          <w:tcPr>
            <w:tcW w:w="1440"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785C416F" w14:textId="4D34DD62" w:rsidR="00584187" w:rsidRPr="0098744D" w:rsidRDefault="00584187" w:rsidP="00584187">
            <w:pPr>
              <w:keepNext/>
              <w:jc w:val="center"/>
              <w:rPr>
                <w:rFonts w:ascii="Calibri" w:hAnsi="Calibri"/>
                <w:sz w:val="20"/>
                <w:szCs w:val="20"/>
              </w:rPr>
            </w:pPr>
            <w:r w:rsidRPr="0098744D">
              <w:rPr>
                <w:rFonts w:ascii="Calibri" w:hAnsi="Calibri"/>
                <w:sz w:val="20"/>
                <w:szCs w:val="20"/>
              </w:rPr>
              <w:t>25.4%</w:t>
            </w:r>
          </w:p>
        </w:tc>
        <w:tc>
          <w:tcPr>
            <w:tcW w:w="1260"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bottom"/>
          </w:tcPr>
          <w:p w14:paraId="064745AD" w14:textId="3D441838" w:rsidR="00584187" w:rsidRPr="0098744D" w:rsidRDefault="005E5463" w:rsidP="00584187">
            <w:pPr>
              <w:keepNext/>
              <w:jc w:val="center"/>
              <w:rPr>
                <w:rFonts w:ascii="Calibri" w:hAnsi="Calibri"/>
                <w:sz w:val="20"/>
                <w:szCs w:val="20"/>
              </w:rPr>
            </w:pPr>
            <w:r w:rsidRPr="005E5463">
              <w:rPr>
                <w:rFonts w:ascii="Calibri" w:hAnsi="Calibri"/>
                <w:sz w:val="20"/>
                <w:szCs w:val="20"/>
              </w:rPr>
              <w:t>28.8%</w:t>
            </w:r>
          </w:p>
        </w:tc>
      </w:tr>
      <w:tr w:rsidR="00584187" w:rsidRPr="00BE4539" w14:paraId="0633E8C0" w14:textId="77777777" w:rsidTr="001C42F5">
        <w:trPr>
          <w:cantSplit/>
          <w:trHeight w:val="302"/>
          <w:jc w:val="center"/>
        </w:trPr>
        <w:tc>
          <w:tcPr>
            <w:tcW w:w="3780" w:type="dxa"/>
            <w:tcBorders>
              <w:bottom w:val="single" w:sz="4" w:space="0" w:color="BFBFBF" w:themeColor="background1" w:themeShade="BF"/>
              <w:right w:val="single" w:sz="4" w:space="0" w:color="BFBFBF" w:themeColor="background1" w:themeShade="BF"/>
            </w:tcBorders>
            <w:shd w:val="clear" w:color="auto" w:fill="auto"/>
            <w:noWrap/>
            <w:vAlign w:val="center"/>
          </w:tcPr>
          <w:p w14:paraId="38F5E3C7" w14:textId="77777777" w:rsidR="00584187" w:rsidRPr="00BE4539" w:rsidRDefault="00584187" w:rsidP="00584187">
            <w:pPr>
              <w:keepNext/>
              <w:jc w:val="right"/>
              <w:rPr>
                <w:rFonts w:ascii="Calibri" w:eastAsia="Times New Roman" w:hAnsi="Calibri" w:cs="Arial"/>
                <w:sz w:val="20"/>
                <w:szCs w:val="20"/>
              </w:rPr>
            </w:pPr>
            <w:r w:rsidRPr="00BE4539">
              <w:rPr>
                <w:rFonts w:ascii="Calibri" w:eastAsia="Times New Roman" w:hAnsi="Calibri" w:cs="Arial"/>
                <w:sz w:val="20"/>
                <w:szCs w:val="20"/>
              </w:rPr>
              <w:t>Unrestricted GF Revenues Total</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4C300BC1" w14:textId="15EDAA65" w:rsidR="00584187" w:rsidRPr="00BE4539" w:rsidRDefault="00584187" w:rsidP="00584187">
            <w:pPr>
              <w:keepNext/>
              <w:jc w:val="center"/>
              <w:rPr>
                <w:rFonts w:ascii="Calibri" w:hAnsi="Calibri"/>
                <w:sz w:val="20"/>
                <w:szCs w:val="20"/>
              </w:rPr>
            </w:pPr>
            <w:r w:rsidRPr="00BE4539">
              <w:rPr>
                <w:rFonts w:ascii="Calibri" w:hAnsi="Calibri"/>
                <w:sz w:val="20"/>
                <w:szCs w:val="20"/>
              </w:rPr>
              <w:t>181,509,921</w:t>
            </w:r>
          </w:p>
        </w:tc>
        <w:tc>
          <w:tcPr>
            <w:tcW w:w="1440" w:type="dxa"/>
            <w:tcBorders>
              <w:top w:val="single" w:sz="4" w:space="0" w:color="BFBFBF" w:themeColor="background1" w:themeShade="BF"/>
              <w:bottom w:val="single" w:sz="4" w:space="0" w:color="BFBFBF" w:themeColor="background1" w:themeShade="BF"/>
            </w:tcBorders>
            <w:shd w:val="clear" w:color="auto" w:fill="auto"/>
            <w:noWrap/>
          </w:tcPr>
          <w:p w14:paraId="6A3FC95F" w14:textId="1AD400DE" w:rsidR="00584187" w:rsidRPr="00BE4539" w:rsidRDefault="00584187" w:rsidP="00584187">
            <w:pPr>
              <w:keepNext/>
              <w:jc w:val="center"/>
              <w:rPr>
                <w:rFonts w:ascii="Calibri" w:hAnsi="Calibri"/>
                <w:sz w:val="20"/>
                <w:szCs w:val="20"/>
              </w:rPr>
            </w:pPr>
            <w:r w:rsidRPr="00BE4539">
              <w:rPr>
                <w:rFonts w:ascii="Calibri" w:hAnsi="Calibri"/>
                <w:sz w:val="20"/>
                <w:szCs w:val="20"/>
              </w:rPr>
              <w:t>179,074,786</w:t>
            </w:r>
          </w:p>
        </w:tc>
        <w:tc>
          <w:tcPr>
            <w:tcW w:w="1350" w:type="dxa"/>
            <w:tcBorders>
              <w:top w:val="single" w:sz="4" w:space="0" w:color="BFBFBF" w:themeColor="background1" w:themeShade="BF"/>
              <w:bottom w:val="single" w:sz="4" w:space="0" w:color="BFBFBF" w:themeColor="background1" w:themeShade="BF"/>
            </w:tcBorders>
            <w:shd w:val="clear" w:color="auto" w:fill="auto"/>
          </w:tcPr>
          <w:p w14:paraId="2C1D2EAF" w14:textId="666CA2BA" w:rsidR="00584187" w:rsidRPr="00BE4539" w:rsidRDefault="00584187" w:rsidP="00584187">
            <w:pPr>
              <w:keepNext/>
              <w:jc w:val="center"/>
              <w:rPr>
                <w:rFonts w:ascii="Calibri" w:hAnsi="Calibri"/>
                <w:sz w:val="20"/>
                <w:szCs w:val="20"/>
              </w:rPr>
            </w:pPr>
            <w:r w:rsidRPr="00BE4539">
              <w:rPr>
                <w:rFonts w:ascii="Calibri" w:hAnsi="Calibri"/>
                <w:sz w:val="20"/>
                <w:szCs w:val="20"/>
              </w:rPr>
              <w:t>190,597,934</w:t>
            </w:r>
          </w:p>
        </w:tc>
        <w:tc>
          <w:tcPr>
            <w:tcW w:w="1440" w:type="dxa"/>
            <w:tcBorders>
              <w:top w:val="single" w:sz="4" w:space="0" w:color="BFBFBF" w:themeColor="background1" w:themeShade="BF"/>
              <w:bottom w:val="single" w:sz="4" w:space="0" w:color="BFBFBF" w:themeColor="background1" w:themeShade="BF"/>
            </w:tcBorders>
            <w:shd w:val="clear" w:color="auto" w:fill="auto"/>
            <w:noWrap/>
          </w:tcPr>
          <w:p w14:paraId="7694BC00" w14:textId="06EE9383" w:rsidR="00584187" w:rsidRPr="00BE4539" w:rsidRDefault="00584187" w:rsidP="00584187">
            <w:pPr>
              <w:keepNext/>
              <w:jc w:val="center"/>
              <w:rPr>
                <w:rFonts w:ascii="Calibri" w:hAnsi="Calibri"/>
                <w:sz w:val="20"/>
                <w:szCs w:val="20"/>
              </w:rPr>
            </w:pPr>
            <w:r w:rsidRPr="00BE4539">
              <w:rPr>
                <w:rFonts w:ascii="Calibri" w:hAnsi="Calibri"/>
                <w:sz w:val="20"/>
                <w:szCs w:val="20"/>
              </w:rPr>
              <w:t>225,415,359</w:t>
            </w:r>
          </w:p>
        </w:tc>
        <w:tc>
          <w:tcPr>
            <w:tcW w:w="1260" w:type="dxa"/>
            <w:tcBorders>
              <w:top w:val="single" w:sz="4" w:space="0" w:color="BFBFBF" w:themeColor="background1" w:themeShade="BF"/>
              <w:bottom w:val="single" w:sz="4" w:space="0" w:color="BFBFBF" w:themeColor="background1" w:themeShade="BF"/>
            </w:tcBorders>
            <w:shd w:val="clear" w:color="auto" w:fill="auto"/>
          </w:tcPr>
          <w:p w14:paraId="42FD3054" w14:textId="17B1934B" w:rsidR="00584187" w:rsidRPr="00BE4539" w:rsidRDefault="007711BA" w:rsidP="00584187">
            <w:pPr>
              <w:keepNext/>
              <w:jc w:val="center"/>
              <w:rPr>
                <w:rFonts w:ascii="Calibri" w:hAnsi="Calibri"/>
                <w:sz w:val="20"/>
                <w:szCs w:val="20"/>
              </w:rPr>
            </w:pPr>
            <w:r>
              <w:rPr>
                <w:rFonts w:ascii="Calibri" w:hAnsi="Calibri"/>
                <w:sz w:val="20"/>
                <w:szCs w:val="20"/>
              </w:rPr>
              <w:t>212,474,942</w:t>
            </w:r>
          </w:p>
        </w:tc>
      </w:tr>
    </w:tbl>
    <w:p w14:paraId="4F513300" w14:textId="77777777" w:rsidR="007711BA" w:rsidRPr="00493042" w:rsidRDefault="007711BA" w:rsidP="007711BA">
      <w:pPr>
        <w:keepNext/>
        <w:autoSpaceDE w:val="0"/>
        <w:autoSpaceDN w:val="0"/>
        <w:adjustRightInd w:val="0"/>
        <w:rPr>
          <w:bCs/>
          <w:sz w:val="16"/>
          <w:szCs w:val="16"/>
        </w:rPr>
      </w:pPr>
      <w:r w:rsidRPr="00493042">
        <w:rPr>
          <w:bCs/>
          <w:sz w:val="16"/>
          <w:szCs w:val="16"/>
        </w:rPr>
        <w:t>Source: District Office Fiscal Services</w:t>
      </w:r>
    </w:p>
    <w:p w14:paraId="1074C640" w14:textId="77777777" w:rsidR="002A30E5" w:rsidRPr="00B9364B" w:rsidRDefault="002A30E5" w:rsidP="002A30E5">
      <w:pPr>
        <w:autoSpaceDE w:val="0"/>
        <w:autoSpaceDN w:val="0"/>
        <w:adjustRightInd w:val="0"/>
        <w:rPr>
          <w:bCs/>
          <w:color w:val="FF0000"/>
        </w:rPr>
      </w:pPr>
    </w:p>
    <w:p w14:paraId="6AE63713" w14:textId="77777777" w:rsidR="002A30E5" w:rsidRPr="00493042" w:rsidRDefault="002A30E5" w:rsidP="002A30E5">
      <w:pPr>
        <w:pStyle w:val="Heading2"/>
        <w:spacing w:before="0"/>
        <w:rPr>
          <w:color w:val="auto"/>
        </w:rPr>
      </w:pPr>
      <w:bookmarkStart w:id="136" w:name="_Toc288801623"/>
      <w:bookmarkStart w:id="137" w:name="_Toc341183262"/>
      <w:bookmarkStart w:id="138" w:name="_Toc506217441"/>
      <w:r w:rsidRPr="00493042">
        <w:rPr>
          <w:color w:val="auto"/>
        </w:rPr>
        <w:t>Unrestricted General Fund: Salaries, Benefits and Fixed Costs</w:t>
      </w:r>
      <w:bookmarkEnd w:id="136"/>
      <w:bookmarkEnd w:id="137"/>
      <w:bookmarkEnd w:id="138"/>
      <w:r w:rsidRPr="00493042">
        <w:rPr>
          <w:color w:val="auto"/>
        </w:rPr>
        <w:t xml:space="preserve"> </w:t>
      </w:r>
    </w:p>
    <w:p w14:paraId="1CDBCC17" w14:textId="77777777" w:rsidR="002A30E5" w:rsidRPr="00493042" w:rsidRDefault="002A30E5" w:rsidP="002A30E5">
      <w:pPr>
        <w:keepNext/>
        <w:autoSpaceDE w:val="0"/>
        <w:autoSpaceDN w:val="0"/>
        <w:adjustRightInd w:val="0"/>
        <w:rPr>
          <w:sz w:val="16"/>
          <w:szCs w:val="16"/>
        </w:rPr>
      </w:pPr>
    </w:p>
    <w:p w14:paraId="37314F52" w14:textId="377A912C" w:rsidR="002A30E5" w:rsidRPr="00493042" w:rsidRDefault="002A30E5" w:rsidP="002A30E5">
      <w:pPr>
        <w:keepNext/>
        <w:autoSpaceDE w:val="0"/>
        <w:autoSpaceDN w:val="0"/>
        <w:adjustRightInd w:val="0"/>
      </w:pPr>
      <w:r w:rsidRPr="00493042">
        <w:t xml:space="preserve">That portion of the District's revenues and expenditures that is not salaries, benefits or fixed costs represents the discretionary portion of the District's budget. For the past five years, these combined unrestricted costs </w:t>
      </w:r>
      <w:r w:rsidR="00806EDD">
        <w:t>have</w:t>
      </w:r>
      <w:r>
        <w:t xml:space="preserve"> average</w:t>
      </w:r>
      <w:r w:rsidR="00F43990">
        <w:t>d</w:t>
      </w:r>
      <w:r>
        <w:t xml:space="preserve"> </w:t>
      </w:r>
      <w:r w:rsidR="00F072DF">
        <w:t>87</w:t>
      </w:r>
      <w:r>
        <w:t xml:space="preserve">% of </w:t>
      </w:r>
      <w:r w:rsidRPr="00493042">
        <w:t xml:space="preserve">the total unrestricted general fund revenues, </w:t>
      </w:r>
      <w:r>
        <w:t>which leaves the District to rely on reserves or other funds to maintain and/or upgrade the infrastructure of its facilities.</w:t>
      </w:r>
    </w:p>
    <w:p w14:paraId="79BCC2C5" w14:textId="77777777" w:rsidR="002A30E5" w:rsidRPr="00493042" w:rsidRDefault="002A30E5" w:rsidP="002A30E5">
      <w:pPr>
        <w:keepNext/>
        <w:autoSpaceDE w:val="0"/>
        <w:autoSpaceDN w:val="0"/>
        <w:adjustRightInd w:val="0"/>
        <w:rPr>
          <w:sz w:val="16"/>
          <w:szCs w:val="16"/>
        </w:rPr>
      </w:pPr>
    </w:p>
    <w:p w14:paraId="5988F26E" w14:textId="77777777" w:rsidR="002A30E5" w:rsidRPr="00493042" w:rsidRDefault="002A30E5" w:rsidP="002A30E5">
      <w:pPr>
        <w:keepNext/>
        <w:autoSpaceDE w:val="0"/>
        <w:autoSpaceDN w:val="0"/>
        <w:adjustRightInd w:val="0"/>
        <w:jc w:val="center"/>
        <w:rPr>
          <w:rFonts w:ascii="Calibri" w:hAnsi="Calibri"/>
          <w:b/>
          <w:bCs/>
        </w:rPr>
      </w:pPr>
      <w:r w:rsidRPr="00493042">
        <w:rPr>
          <w:rFonts w:ascii="Calibri" w:hAnsi="Calibri"/>
          <w:b/>
          <w:bCs/>
        </w:rPr>
        <w:t>Benefits &amp; Fixed Costs as a Percentage of Unrestricted General Fund Revenues</w:t>
      </w:r>
    </w:p>
    <w:tbl>
      <w:tblPr>
        <w:tblW w:w="0" w:type="auto"/>
        <w:jc w:val="center"/>
        <w:tblLayout w:type="fixed"/>
        <w:tblLook w:val="04A0" w:firstRow="1" w:lastRow="0" w:firstColumn="1" w:lastColumn="0" w:noHBand="0" w:noVBand="1"/>
      </w:tblPr>
      <w:tblGrid>
        <w:gridCol w:w="3240"/>
        <w:gridCol w:w="1415"/>
        <w:gridCol w:w="1584"/>
        <w:gridCol w:w="1584"/>
        <w:gridCol w:w="1584"/>
        <w:gridCol w:w="1303"/>
      </w:tblGrid>
      <w:tr w:rsidR="00584187" w:rsidRPr="00493042" w14:paraId="75F6BC3A" w14:textId="77777777" w:rsidTr="001C42F5">
        <w:trPr>
          <w:trHeight w:val="302"/>
          <w:jc w:val="center"/>
        </w:trPr>
        <w:tc>
          <w:tcPr>
            <w:tcW w:w="3240"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75C95155" w14:textId="77777777" w:rsidR="00584187" w:rsidRPr="00493042" w:rsidRDefault="00584187" w:rsidP="00584187">
            <w:pPr>
              <w:keepNext/>
              <w:rPr>
                <w:rFonts w:ascii="Calibri" w:eastAsia="Times New Roman" w:hAnsi="Calibri" w:cs="Arial"/>
                <w:b/>
                <w:sz w:val="20"/>
                <w:szCs w:val="20"/>
              </w:rPr>
            </w:pPr>
            <w:r w:rsidRPr="00493042">
              <w:rPr>
                <w:rFonts w:ascii="Calibri" w:eastAsia="Times New Roman" w:hAnsi="Calibri" w:cs="Arial"/>
                <w:b/>
                <w:sz w:val="20"/>
                <w:szCs w:val="20"/>
              </w:rPr>
              <w:t>Unrestricted General Fund:</w:t>
            </w:r>
          </w:p>
          <w:p w14:paraId="47420EE2" w14:textId="77777777" w:rsidR="00584187" w:rsidRPr="00493042" w:rsidRDefault="00584187" w:rsidP="00584187">
            <w:pPr>
              <w:keepNext/>
              <w:rPr>
                <w:rFonts w:ascii="Calibri" w:eastAsia="Times New Roman" w:hAnsi="Calibri" w:cs="Arial"/>
                <w:b/>
                <w:sz w:val="20"/>
                <w:szCs w:val="20"/>
              </w:rPr>
            </w:pPr>
            <w:r w:rsidRPr="00493042">
              <w:rPr>
                <w:rFonts w:ascii="Calibri" w:eastAsia="Times New Roman" w:hAnsi="Calibri" w:cs="Arial"/>
                <w:b/>
                <w:sz w:val="20"/>
                <w:szCs w:val="20"/>
              </w:rPr>
              <w:t>Salaries and Benefit &amp; Fixed Costs</w:t>
            </w:r>
          </w:p>
        </w:tc>
        <w:tc>
          <w:tcPr>
            <w:tcW w:w="1415"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4C41C83F" w14:textId="11A6622F" w:rsidR="00584187" w:rsidRPr="00493042" w:rsidRDefault="00584187" w:rsidP="00584187">
            <w:pPr>
              <w:keepNext/>
              <w:jc w:val="center"/>
              <w:rPr>
                <w:rFonts w:ascii="Calibri" w:eastAsia="Times New Roman" w:hAnsi="Calibri" w:cs="Arial"/>
                <w:b/>
                <w:sz w:val="20"/>
                <w:szCs w:val="20"/>
              </w:rPr>
            </w:pPr>
            <w:r w:rsidRPr="00493042">
              <w:rPr>
                <w:rFonts w:ascii="Calibri" w:eastAsia="Times New Roman" w:hAnsi="Calibri" w:cs="Arial"/>
                <w:b/>
                <w:sz w:val="20"/>
                <w:szCs w:val="20"/>
              </w:rPr>
              <w:t>FY  2012-13</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12ABF20E" w14:textId="2DD29E2A" w:rsidR="00584187" w:rsidRPr="00493042" w:rsidRDefault="00584187" w:rsidP="00584187">
            <w:pPr>
              <w:keepNext/>
              <w:jc w:val="center"/>
              <w:rPr>
                <w:rFonts w:ascii="Calibri" w:eastAsia="Times New Roman" w:hAnsi="Calibri" w:cs="Arial"/>
                <w:b/>
                <w:sz w:val="20"/>
                <w:szCs w:val="20"/>
              </w:rPr>
            </w:pPr>
            <w:r w:rsidRPr="00493042">
              <w:rPr>
                <w:rFonts w:ascii="Calibri" w:eastAsia="Times New Roman" w:hAnsi="Calibri" w:cs="Arial"/>
                <w:b/>
                <w:sz w:val="20"/>
                <w:szCs w:val="20"/>
              </w:rPr>
              <w:t>FY  2013-14</w:t>
            </w:r>
          </w:p>
        </w:tc>
        <w:tc>
          <w:tcPr>
            <w:tcW w:w="1584" w:type="dxa"/>
            <w:tcBorders>
              <w:top w:val="single" w:sz="4" w:space="0" w:color="BFBFBF" w:themeColor="background1" w:themeShade="BF"/>
              <w:bottom w:val="single" w:sz="4" w:space="0" w:color="auto"/>
            </w:tcBorders>
            <w:shd w:val="clear" w:color="auto" w:fill="D9D9D9" w:themeFill="background1" w:themeFillShade="D9"/>
            <w:vAlign w:val="bottom"/>
          </w:tcPr>
          <w:p w14:paraId="6971BC67" w14:textId="237E7025" w:rsidR="00584187" w:rsidRPr="00493042" w:rsidRDefault="00584187" w:rsidP="00584187">
            <w:pPr>
              <w:keepNext/>
              <w:jc w:val="center"/>
              <w:rPr>
                <w:rFonts w:ascii="Calibri" w:eastAsia="Times New Roman" w:hAnsi="Calibri" w:cs="Arial"/>
                <w:b/>
                <w:sz w:val="20"/>
                <w:szCs w:val="20"/>
              </w:rPr>
            </w:pPr>
            <w:r w:rsidRPr="00493042">
              <w:rPr>
                <w:rFonts w:ascii="Calibri" w:eastAsia="Times New Roman" w:hAnsi="Calibri" w:cs="Arial"/>
                <w:b/>
                <w:sz w:val="20"/>
                <w:szCs w:val="20"/>
              </w:rPr>
              <w:t>FY  2014-15</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4B55B9E6" w14:textId="6EC38A7A" w:rsidR="00584187" w:rsidRPr="00493042" w:rsidRDefault="00584187" w:rsidP="00584187">
            <w:pPr>
              <w:keepNext/>
              <w:jc w:val="center"/>
              <w:rPr>
                <w:rFonts w:ascii="Calibri" w:eastAsia="Times New Roman" w:hAnsi="Calibri" w:cs="Arial"/>
                <w:b/>
                <w:sz w:val="20"/>
                <w:szCs w:val="20"/>
              </w:rPr>
            </w:pPr>
            <w:r w:rsidRPr="00493042">
              <w:rPr>
                <w:rFonts w:ascii="Calibri" w:eastAsia="Times New Roman" w:hAnsi="Calibri" w:cs="Arial"/>
                <w:b/>
                <w:sz w:val="20"/>
                <w:szCs w:val="20"/>
              </w:rPr>
              <w:t>FY  2015-16</w:t>
            </w:r>
          </w:p>
        </w:tc>
        <w:tc>
          <w:tcPr>
            <w:tcW w:w="1303" w:type="dxa"/>
            <w:tcBorders>
              <w:top w:val="single" w:sz="4" w:space="0" w:color="BFBFBF" w:themeColor="background1" w:themeShade="BF"/>
              <w:bottom w:val="single" w:sz="4" w:space="0" w:color="auto"/>
            </w:tcBorders>
            <w:shd w:val="clear" w:color="auto" w:fill="D9D9D9" w:themeFill="background1" w:themeFillShade="D9"/>
            <w:vAlign w:val="bottom"/>
          </w:tcPr>
          <w:p w14:paraId="32C97769" w14:textId="59FEEFE0" w:rsidR="00584187" w:rsidRPr="00493042" w:rsidRDefault="00584187" w:rsidP="00584187">
            <w:pPr>
              <w:keepNext/>
              <w:jc w:val="center"/>
              <w:rPr>
                <w:rFonts w:ascii="Calibri" w:eastAsia="Times New Roman" w:hAnsi="Calibri" w:cs="Arial"/>
                <w:b/>
                <w:sz w:val="20"/>
                <w:szCs w:val="20"/>
              </w:rPr>
            </w:pPr>
            <w:r w:rsidRPr="00493042">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493042" w14:paraId="0A63A72E" w14:textId="77777777" w:rsidTr="001C42F5">
        <w:trPr>
          <w:trHeight w:val="302"/>
          <w:jc w:val="center"/>
        </w:trPr>
        <w:tc>
          <w:tcPr>
            <w:tcW w:w="3240" w:type="dxa"/>
            <w:tcBorders>
              <w:top w:val="single" w:sz="4" w:space="0" w:color="BFBFBF" w:themeColor="background1" w:themeShade="BF"/>
              <w:right w:val="single" w:sz="4" w:space="0" w:color="BFBFBF" w:themeColor="background1" w:themeShade="BF"/>
            </w:tcBorders>
            <w:shd w:val="clear" w:color="auto" w:fill="FBD4B4" w:themeFill="accent6" w:themeFillTint="66"/>
            <w:noWrap/>
            <w:vAlign w:val="center"/>
          </w:tcPr>
          <w:p w14:paraId="159FE90B" w14:textId="77777777" w:rsidR="00584187" w:rsidRPr="00493042" w:rsidRDefault="00584187" w:rsidP="00584187">
            <w:pPr>
              <w:keepNext/>
              <w:rPr>
                <w:rFonts w:ascii="Calibri" w:eastAsia="Times New Roman" w:hAnsi="Calibri" w:cs="Arial"/>
                <w:sz w:val="20"/>
                <w:szCs w:val="20"/>
              </w:rPr>
            </w:pPr>
            <w:r w:rsidRPr="00493042">
              <w:rPr>
                <w:rFonts w:ascii="Calibri" w:eastAsia="Times New Roman" w:hAnsi="Calibri" w:cs="Arial"/>
                <w:sz w:val="20"/>
                <w:szCs w:val="20"/>
              </w:rPr>
              <w:t>Orange  Coast</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vAlign w:val="bottom"/>
          </w:tcPr>
          <w:p w14:paraId="32BC1B18" w14:textId="64104E6E" w:rsidR="00584187" w:rsidRPr="00493042" w:rsidRDefault="00584187" w:rsidP="00584187">
            <w:pPr>
              <w:keepNext/>
              <w:jc w:val="center"/>
              <w:rPr>
                <w:rFonts w:ascii="Calibri" w:hAnsi="Calibri"/>
                <w:sz w:val="20"/>
                <w:szCs w:val="20"/>
              </w:rPr>
            </w:pPr>
            <w:r w:rsidRPr="00493042">
              <w:rPr>
                <w:rFonts w:ascii="Calibri" w:hAnsi="Calibri"/>
                <w:sz w:val="20"/>
                <w:szCs w:val="20"/>
              </w:rPr>
              <w:t>66,090,739</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vAlign w:val="bottom"/>
          </w:tcPr>
          <w:p w14:paraId="75684839" w14:textId="1C0B46B1" w:rsidR="00584187" w:rsidRPr="00493042" w:rsidRDefault="00584187" w:rsidP="00584187">
            <w:pPr>
              <w:keepNext/>
              <w:jc w:val="center"/>
              <w:rPr>
                <w:rFonts w:ascii="Calibri" w:hAnsi="Calibri"/>
                <w:sz w:val="20"/>
                <w:szCs w:val="20"/>
              </w:rPr>
            </w:pPr>
            <w:r w:rsidRPr="00493042">
              <w:rPr>
                <w:rFonts w:ascii="Calibri" w:hAnsi="Calibri"/>
                <w:sz w:val="20"/>
                <w:szCs w:val="20"/>
              </w:rPr>
              <w:t>64,276,744</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vAlign w:val="bottom"/>
          </w:tcPr>
          <w:p w14:paraId="3CA7B11D" w14:textId="5C1AB275" w:rsidR="00584187" w:rsidRPr="00493042" w:rsidRDefault="00584187" w:rsidP="00584187">
            <w:pPr>
              <w:keepNext/>
              <w:jc w:val="center"/>
              <w:rPr>
                <w:rFonts w:ascii="Calibri" w:hAnsi="Calibri"/>
                <w:sz w:val="20"/>
                <w:szCs w:val="20"/>
              </w:rPr>
            </w:pPr>
            <w:r w:rsidRPr="00493042">
              <w:rPr>
                <w:rFonts w:ascii="Calibri" w:hAnsi="Calibri"/>
                <w:sz w:val="20"/>
                <w:szCs w:val="20"/>
              </w:rPr>
              <w:t>70,178,364</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vAlign w:val="bottom"/>
          </w:tcPr>
          <w:p w14:paraId="08426980" w14:textId="4B6E64E2" w:rsidR="00584187" w:rsidRPr="00493042" w:rsidRDefault="00584187" w:rsidP="00584187">
            <w:pPr>
              <w:keepNext/>
              <w:jc w:val="center"/>
              <w:rPr>
                <w:rFonts w:ascii="Calibri" w:hAnsi="Calibri"/>
                <w:sz w:val="20"/>
                <w:szCs w:val="20"/>
              </w:rPr>
            </w:pPr>
            <w:r w:rsidRPr="00493042">
              <w:rPr>
                <w:rFonts w:ascii="Calibri" w:hAnsi="Calibri"/>
                <w:sz w:val="20"/>
                <w:szCs w:val="20"/>
              </w:rPr>
              <w:t>71,938,622</w:t>
            </w:r>
          </w:p>
        </w:tc>
        <w:tc>
          <w:tcPr>
            <w:tcW w:w="1303" w:type="dxa"/>
            <w:tcBorders>
              <w:top w:val="single" w:sz="4" w:space="0" w:color="BFBFBF" w:themeColor="background1" w:themeShade="BF"/>
              <w:bottom w:val="single" w:sz="4" w:space="0" w:color="BFBFBF" w:themeColor="background1" w:themeShade="BF"/>
            </w:tcBorders>
            <w:shd w:val="clear" w:color="auto" w:fill="FBD4B4" w:themeFill="accent6" w:themeFillTint="66"/>
            <w:vAlign w:val="bottom"/>
          </w:tcPr>
          <w:p w14:paraId="76D5FD4F" w14:textId="077135F6" w:rsidR="00584187" w:rsidRPr="00493042" w:rsidRDefault="00081EEC" w:rsidP="00584187">
            <w:pPr>
              <w:keepNext/>
              <w:jc w:val="center"/>
              <w:rPr>
                <w:rFonts w:ascii="Calibri" w:hAnsi="Calibri"/>
                <w:sz w:val="20"/>
                <w:szCs w:val="20"/>
              </w:rPr>
            </w:pPr>
            <w:r w:rsidRPr="00081EEC">
              <w:rPr>
                <w:rFonts w:ascii="Calibri" w:hAnsi="Calibri"/>
                <w:sz w:val="20"/>
                <w:szCs w:val="20"/>
              </w:rPr>
              <w:t>75,855,767</w:t>
            </w:r>
          </w:p>
        </w:tc>
      </w:tr>
      <w:tr w:rsidR="00584187" w:rsidRPr="00493042" w14:paraId="27B70BE3" w14:textId="77777777" w:rsidTr="001C42F5">
        <w:trPr>
          <w:trHeight w:val="302"/>
          <w:jc w:val="center"/>
        </w:trPr>
        <w:tc>
          <w:tcPr>
            <w:tcW w:w="3240" w:type="dxa"/>
            <w:tcBorders>
              <w:bottom w:val="single" w:sz="4" w:space="0" w:color="BFBFBF" w:themeColor="background1" w:themeShade="BF"/>
              <w:right w:val="single" w:sz="4" w:space="0" w:color="BFBFBF" w:themeColor="background1" w:themeShade="BF"/>
            </w:tcBorders>
            <w:shd w:val="clear" w:color="auto" w:fill="FBD4B4" w:themeFill="accent6" w:themeFillTint="66"/>
            <w:noWrap/>
            <w:vAlign w:val="center"/>
          </w:tcPr>
          <w:p w14:paraId="2C113D58" w14:textId="77777777" w:rsidR="00584187" w:rsidRPr="00493042" w:rsidRDefault="00584187" w:rsidP="00584187">
            <w:pPr>
              <w:keepNext/>
              <w:jc w:val="right"/>
              <w:rPr>
                <w:rFonts w:ascii="Calibri" w:eastAsia="Times New Roman" w:hAnsi="Calibri" w:cs="Arial"/>
                <w:sz w:val="20"/>
                <w:szCs w:val="20"/>
              </w:rPr>
            </w:pPr>
            <w:r w:rsidRPr="00493042">
              <w:rPr>
                <w:rFonts w:ascii="Calibri" w:eastAsia="Times New Roman" w:hAnsi="Calibri" w:cs="Arial"/>
                <w:sz w:val="20"/>
                <w:szCs w:val="20"/>
              </w:rPr>
              <w:t>% of Unrestricted GF Revenues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vAlign w:val="bottom"/>
          </w:tcPr>
          <w:p w14:paraId="2C6B2433" w14:textId="3FD9ADF7" w:rsidR="00584187" w:rsidRPr="00493042" w:rsidRDefault="00584187" w:rsidP="00584187">
            <w:pPr>
              <w:keepNext/>
              <w:jc w:val="center"/>
              <w:rPr>
                <w:rFonts w:ascii="Calibri" w:hAnsi="Calibri"/>
                <w:sz w:val="20"/>
                <w:szCs w:val="20"/>
              </w:rPr>
            </w:pPr>
            <w:r w:rsidRPr="00493042">
              <w:rPr>
                <w:rFonts w:ascii="Calibri" w:hAnsi="Calibri"/>
                <w:sz w:val="20"/>
                <w:szCs w:val="20"/>
              </w:rPr>
              <w:t>36.4%</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vAlign w:val="bottom"/>
          </w:tcPr>
          <w:p w14:paraId="25587A17" w14:textId="4B625FB6" w:rsidR="00584187" w:rsidRPr="00493042" w:rsidRDefault="00584187" w:rsidP="00584187">
            <w:pPr>
              <w:keepNext/>
              <w:jc w:val="center"/>
              <w:rPr>
                <w:rFonts w:ascii="Calibri" w:hAnsi="Calibri"/>
                <w:sz w:val="20"/>
                <w:szCs w:val="20"/>
              </w:rPr>
            </w:pPr>
            <w:r w:rsidRPr="00493042">
              <w:rPr>
                <w:rFonts w:ascii="Calibri" w:hAnsi="Calibri"/>
                <w:sz w:val="20"/>
                <w:szCs w:val="20"/>
              </w:rPr>
              <w:t>35.9%</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vAlign w:val="bottom"/>
          </w:tcPr>
          <w:p w14:paraId="4E509BB9" w14:textId="215384EF" w:rsidR="00584187" w:rsidRPr="00493042" w:rsidRDefault="00584187" w:rsidP="00584187">
            <w:pPr>
              <w:keepNext/>
              <w:jc w:val="center"/>
              <w:rPr>
                <w:rFonts w:ascii="Calibri" w:hAnsi="Calibri"/>
                <w:sz w:val="20"/>
                <w:szCs w:val="20"/>
              </w:rPr>
            </w:pPr>
            <w:r w:rsidRPr="00493042">
              <w:rPr>
                <w:rFonts w:ascii="Calibri" w:hAnsi="Calibri"/>
                <w:sz w:val="20"/>
                <w:szCs w:val="20"/>
              </w:rPr>
              <w:t>36.8%</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vAlign w:val="bottom"/>
          </w:tcPr>
          <w:p w14:paraId="0572DA1C" w14:textId="7FF4E105" w:rsidR="00584187" w:rsidRPr="00493042" w:rsidRDefault="00584187" w:rsidP="00584187">
            <w:pPr>
              <w:keepNext/>
              <w:jc w:val="center"/>
              <w:rPr>
                <w:rFonts w:ascii="Calibri" w:hAnsi="Calibri"/>
                <w:sz w:val="20"/>
                <w:szCs w:val="20"/>
              </w:rPr>
            </w:pPr>
            <w:r w:rsidRPr="00493042">
              <w:rPr>
                <w:rFonts w:ascii="Calibri" w:hAnsi="Calibri"/>
                <w:sz w:val="20"/>
                <w:szCs w:val="20"/>
              </w:rPr>
              <w:t>31.9%</w:t>
            </w:r>
          </w:p>
        </w:tc>
        <w:tc>
          <w:tcPr>
            <w:tcW w:w="1303" w:type="dxa"/>
            <w:tcBorders>
              <w:top w:val="single" w:sz="4" w:space="0" w:color="BFBFBF" w:themeColor="background1" w:themeShade="BF"/>
              <w:bottom w:val="single" w:sz="4" w:space="0" w:color="BFBFBF" w:themeColor="background1" w:themeShade="BF"/>
            </w:tcBorders>
            <w:shd w:val="clear" w:color="auto" w:fill="FBD4B4" w:themeFill="accent6" w:themeFillTint="66"/>
            <w:vAlign w:val="bottom"/>
          </w:tcPr>
          <w:p w14:paraId="222605BE" w14:textId="46CC502D" w:rsidR="00584187" w:rsidRPr="00493042" w:rsidRDefault="00097AE3" w:rsidP="00584187">
            <w:pPr>
              <w:keepNext/>
              <w:jc w:val="center"/>
              <w:rPr>
                <w:rFonts w:ascii="Calibri" w:hAnsi="Calibri"/>
                <w:sz w:val="20"/>
                <w:szCs w:val="20"/>
              </w:rPr>
            </w:pPr>
            <w:r w:rsidRPr="00097AE3">
              <w:rPr>
                <w:rFonts w:ascii="Calibri" w:hAnsi="Calibri"/>
                <w:sz w:val="20"/>
                <w:szCs w:val="20"/>
              </w:rPr>
              <w:t>35.7%</w:t>
            </w:r>
          </w:p>
        </w:tc>
      </w:tr>
      <w:tr w:rsidR="00584187" w:rsidRPr="00493042" w14:paraId="0E359409" w14:textId="77777777" w:rsidTr="001C42F5">
        <w:trPr>
          <w:trHeight w:val="302"/>
          <w:jc w:val="center"/>
        </w:trPr>
        <w:tc>
          <w:tcPr>
            <w:tcW w:w="3240" w:type="dxa"/>
            <w:tcBorders>
              <w:top w:val="single" w:sz="4" w:space="0" w:color="BFBFBF" w:themeColor="background1" w:themeShade="BF"/>
              <w:right w:val="single" w:sz="4" w:space="0" w:color="BFBFBF" w:themeColor="background1" w:themeShade="BF"/>
            </w:tcBorders>
            <w:shd w:val="clear" w:color="auto" w:fill="D6E3BC" w:themeFill="accent3" w:themeFillTint="66"/>
            <w:noWrap/>
            <w:vAlign w:val="center"/>
          </w:tcPr>
          <w:p w14:paraId="344FD058" w14:textId="77777777" w:rsidR="00584187" w:rsidRPr="00493042" w:rsidRDefault="00584187" w:rsidP="00584187">
            <w:pPr>
              <w:keepNext/>
              <w:rPr>
                <w:rFonts w:ascii="Calibri" w:eastAsia="Times New Roman" w:hAnsi="Calibri" w:cs="Arial"/>
                <w:sz w:val="20"/>
                <w:szCs w:val="20"/>
              </w:rPr>
            </w:pPr>
            <w:r w:rsidRPr="00493042">
              <w:rPr>
                <w:rFonts w:ascii="Calibri" w:eastAsia="Times New Roman" w:hAnsi="Calibri" w:cs="Arial"/>
                <w:sz w:val="20"/>
                <w:szCs w:val="20"/>
              </w:rPr>
              <w:t>Golden  West</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74F88161" w14:textId="172ADA61" w:rsidR="00584187" w:rsidRPr="00493042" w:rsidRDefault="00584187" w:rsidP="00584187">
            <w:pPr>
              <w:keepNext/>
              <w:jc w:val="center"/>
              <w:rPr>
                <w:rFonts w:ascii="Calibri" w:hAnsi="Calibri"/>
                <w:sz w:val="20"/>
                <w:szCs w:val="20"/>
              </w:rPr>
            </w:pPr>
            <w:r w:rsidRPr="00493042">
              <w:rPr>
                <w:rFonts w:ascii="Calibri" w:hAnsi="Calibri"/>
                <w:sz w:val="20"/>
                <w:szCs w:val="20"/>
              </w:rPr>
              <w:t>39,575,339</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7C885607" w14:textId="7BFBCC93" w:rsidR="00584187" w:rsidRPr="00493042" w:rsidRDefault="00584187" w:rsidP="00584187">
            <w:pPr>
              <w:keepNext/>
              <w:jc w:val="center"/>
              <w:rPr>
                <w:rFonts w:ascii="Calibri" w:hAnsi="Calibri"/>
                <w:sz w:val="20"/>
                <w:szCs w:val="20"/>
              </w:rPr>
            </w:pPr>
            <w:r w:rsidRPr="00493042">
              <w:rPr>
                <w:rFonts w:ascii="Calibri" w:hAnsi="Calibri"/>
                <w:sz w:val="20"/>
                <w:szCs w:val="20"/>
              </w:rPr>
              <w:t>39,189,418</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15594B0C" w14:textId="1CE33B4C" w:rsidR="00584187" w:rsidRPr="00493042" w:rsidRDefault="00584187" w:rsidP="00584187">
            <w:pPr>
              <w:keepNext/>
              <w:jc w:val="center"/>
              <w:rPr>
                <w:rFonts w:ascii="Calibri" w:hAnsi="Calibri"/>
                <w:sz w:val="20"/>
                <w:szCs w:val="20"/>
              </w:rPr>
            </w:pPr>
            <w:r w:rsidRPr="00493042">
              <w:rPr>
                <w:rFonts w:ascii="Calibri" w:hAnsi="Calibri"/>
                <w:sz w:val="20"/>
                <w:szCs w:val="20"/>
              </w:rPr>
              <w:t>40,952,784</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1DA0D29E" w14:textId="005D3BB0" w:rsidR="00584187" w:rsidRPr="00493042" w:rsidRDefault="00584187" w:rsidP="00584187">
            <w:pPr>
              <w:keepNext/>
              <w:jc w:val="center"/>
              <w:rPr>
                <w:rFonts w:ascii="Calibri" w:hAnsi="Calibri"/>
                <w:sz w:val="20"/>
                <w:szCs w:val="20"/>
              </w:rPr>
            </w:pPr>
            <w:r w:rsidRPr="00493042">
              <w:rPr>
                <w:rFonts w:ascii="Calibri" w:hAnsi="Calibri"/>
                <w:sz w:val="20"/>
                <w:szCs w:val="20"/>
              </w:rPr>
              <w:t>43,374,361</w:t>
            </w:r>
          </w:p>
        </w:tc>
        <w:tc>
          <w:tcPr>
            <w:tcW w:w="1303"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3DBCC746" w14:textId="6639CBA5" w:rsidR="00584187" w:rsidRPr="00493042" w:rsidRDefault="00081EEC" w:rsidP="00584187">
            <w:pPr>
              <w:keepNext/>
              <w:jc w:val="center"/>
              <w:rPr>
                <w:rFonts w:ascii="Calibri" w:hAnsi="Calibri"/>
                <w:sz w:val="20"/>
                <w:szCs w:val="20"/>
              </w:rPr>
            </w:pPr>
            <w:r w:rsidRPr="00081EEC">
              <w:rPr>
                <w:rFonts w:ascii="Calibri" w:hAnsi="Calibri"/>
                <w:sz w:val="20"/>
                <w:szCs w:val="20"/>
              </w:rPr>
              <w:t>46,267,718</w:t>
            </w:r>
          </w:p>
        </w:tc>
      </w:tr>
      <w:tr w:rsidR="00584187" w:rsidRPr="00493042" w14:paraId="0B4770C1" w14:textId="77777777" w:rsidTr="001C42F5">
        <w:trPr>
          <w:trHeight w:val="302"/>
          <w:jc w:val="center"/>
        </w:trPr>
        <w:tc>
          <w:tcPr>
            <w:tcW w:w="3240" w:type="dxa"/>
            <w:tcBorders>
              <w:bottom w:val="single" w:sz="4" w:space="0" w:color="BFBFBF" w:themeColor="background1" w:themeShade="BF"/>
              <w:right w:val="single" w:sz="4" w:space="0" w:color="BFBFBF" w:themeColor="background1" w:themeShade="BF"/>
            </w:tcBorders>
            <w:shd w:val="clear" w:color="auto" w:fill="D6E3BC" w:themeFill="accent3" w:themeFillTint="66"/>
            <w:noWrap/>
            <w:vAlign w:val="center"/>
          </w:tcPr>
          <w:p w14:paraId="387CDB50" w14:textId="77777777" w:rsidR="00584187" w:rsidRPr="00493042" w:rsidRDefault="00584187" w:rsidP="00584187">
            <w:pPr>
              <w:keepNext/>
              <w:jc w:val="right"/>
              <w:rPr>
                <w:rFonts w:ascii="Calibri" w:eastAsia="Times New Roman" w:hAnsi="Calibri" w:cs="Arial"/>
                <w:sz w:val="20"/>
                <w:szCs w:val="20"/>
              </w:rPr>
            </w:pPr>
            <w:r w:rsidRPr="00493042">
              <w:rPr>
                <w:rFonts w:ascii="Calibri" w:eastAsia="Times New Roman" w:hAnsi="Calibri" w:cs="Arial"/>
                <w:sz w:val="20"/>
                <w:szCs w:val="20"/>
              </w:rPr>
              <w:t>% of Unrestricted GF Revenues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28F64ED3" w14:textId="68A94541" w:rsidR="00584187" w:rsidRPr="00493042" w:rsidRDefault="00584187" w:rsidP="00584187">
            <w:pPr>
              <w:keepNext/>
              <w:jc w:val="center"/>
              <w:rPr>
                <w:rFonts w:ascii="Calibri" w:hAnsi="Calibri"/>
                <w:sz w:val="20"/>
                <w:szCs w:val="20"/>
              </w:rPr>
            </w:pPr>
            <w:r w:rsidRPr="00493042">
              <w:rPr>
                <w:rFonts w:ascii="Calibri" w:hAnsi="Calibri"/>
                <w:sz w:val="20"/>
                <w:szCs w:val="20"/>
              </w:rPr>
              <w:t>21.8%</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0C3AC86D" w14:textId="720C64E1" w:rsidR="00584187" w:rsidRPr="00493042" w:rsidRDefault="00584187" w:rsidP="00584187">
            <w:pPr>
              <w:keepNext/>
              <w:jc w:val="center"/>
              <w:rPr>
                <w:rFonts w:ascii="Calibri" w:hAnsi="Calibri"/>
                <w:sz w:val="20"/>
                <w:szCs w:val="20"/>
              </w:rPr>
            </w:pPr>
            <w:r w:rsidRPr="00493042">
              <w:rPr>
                <w:rFonts w:ascii="Calibri" w:hAnsi="Calibri"/>
                <w:sz w:val="20"/>
                <w:szCs w:val="20"/>
              </w:rPr>
              <w:t>21.9%</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4627B3EC" w14:textId="366C3F1C" w:rsidR="00584187" w:rsidRPr="00493042" w:rsidRDefault="00584187" w:rsidP="00584187">
            <w:pPr>
              <w:keepNext/>
              <w:jc w:val="center"/>
              <w:rPr>
                <w:rFonts w:ascii="Calibri" w:hAnsi="Calibri"/>
                <w:sz w:val="20"/>
                <w:szCs w:val="20"/>
              </w:rPr>
            </w:pPr>
            <w:r w:rsidRPr="00493042">
              <w:rPr>
                <w:rFonts w:ascii="Calibri" w:hAnsi="Calibri"/>
                <w:sz w:val="20"/>
                <w:szCs w:val="20"/>
              </w:rPr>
              <w:t>21.5%</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vAlign w:val="bottom"/>
          </w:tcPr>
          <w:p w14:paraId="7C2E32A8" w14:textId="1F4D6ED7" w:rsidR="00584187" w:rsidRPr="00493042" w:rsidRDefault="00584187" w:rsidP="00584187">
            <w:pPr>
              <w:keepNext/>
              <w:jc w:val="center"/>
              <w:rPr>
                <w:rFonts w:ascii="Calibri" w:hAnsi="Calibri"/>
                <w:sz w:val="20"/>
                <w:szCs w:val="20"/>
              </w:rPr>
            </w:pPr>
            <w:r w:rsidRPr="00493042">
              <w:rPr>
                <w:rFonts w:ascii="Calibri" w:hAnsi="Calibri"/>
                <w:sz w:val="20"/>
                <w:szCs w:val="20"/>
              </w:rPr>
              <w:t>19.2%</w:t>
            </w:r>
          </w:p>
        </w:tc>
        <w:tc>
          <w:tcPr>
            <w:tcW w:w="1303" w:type="dxa"/>
            <w:tcBorders>
              <w:top w:val="single" w:sz="4" w:space="0" w:color="BFBFBF" w:themeColor="background1" w:themeShade="BF"/>
              <w:bottom w:val="single" w:sz="4" w:space="0" w:color="BFBFBF" w:themeColor="background1" w:themeShade="BF"/>
            </w:tcBorders>
            <w:shd w:val="clear" w:color="auto" w:fill="D6E3BC" w:themeFill="accent3" w:themeFillTint="66"/>
            <w:vAlign w:val="bottom"/>
          </w:tcPr>
          <w:p w14:paraId="135A53A4" w14:textId="3D627EAD" w:rsidR="00584187" w:rsidRPr="00493042" w:rsidRDefault="00097AE3" w:rsidP="00584187">
            <w:pPr>
              <w:keepNext/>
              <w:jc w:val="center"/>
              <w:rPr>
                <w:rFonts w:ascii="Calibri" w:hAnsi="Calibri"/>
                <w:sz w:val="20"/>
                <w:szCs w:val="20"/>
              </w:rPr>
            </w:pPr>
            <w:r w:rsidRPr="00097AE3">
              <w:rPr>
                <w:rFonts w:ascii="Calibri" w:hAnsi="Calibri"/>
                <w:sz w:val="20"/>
                <w:szCs w:val="20"/>
              </w:rPr>
              <w:t>21.8%</w:t>
            </w:r>
          </w:p>
        </w:tc>
      </w:tr>
      <w:tr w:rsidR="00584187" w:rsidRPr="00493042" w14:paraId="24F6D7CA" w14:textId="77777777" w:rsidTr="001C42F5">
        <w:trPr>
          <w:trHeight w:val="302"/>
          <w:jc w:val="center"/>
        </w:trPr>
        <w:tc>
          <w:tcPr>
            <w:tcW w:w="3240" w:type="dxa"/>
            <w:tcBorders>
              <w:top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4EBD5C1A" w14:textId="77777777" w:rsidR="00584187" w:rsidRPr="00493042" w:rsidRDefault="00584187" w:rsidP="00584187">
            <w:pPr>
              <w:keepNext/>
              <w:rPr>
                <w:rFonts w:ascii="Calibri" w:eastAsia="Times New Roman" w:hAnsi="Calibri" w:cs="Arial"/>
                <w:sz w:val="20"/>
                <w:szCs w:val="20"/>
              </w:rPr>
            </w:pPr>
            <w:r w:rsidRPr="00493042">
              <w:rPr>
                <w:rFonts w:ascii="Calibri" w:eastAsia="Times New Roman" w:hAnsi="Calibri" w:cs="Arial"/>
                <w:sz w:val="20"/>
                <w:szCs w:val="20"/>
              </w:rPr>
              <w:t>Coastline</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51832FEE" w14:textId="78AABC84" w:rsidR="00584187" w:rsidRPr="00493042" w:rsidRDefault="00584187" w:rsidP="00584187">
            <w:pPr>
              <w:keepNext/>
              <w:jc w:val="center"/>
              <w:rPr>
                <w:rFonts w:ascii="Calibri" w:hAnsi="Calibri"/>
                <w:sz w:val="20"/>
                <w:szCs w:val="20"/>
              </w:rPr>
            </w:pPr>
            <w:r w:rsidRPr="00493042">
              <w:rPr>
                <w:rFonts w:ascii="Calibri" w:hAnsi="Calibri"/>
                <w:sz w:val="20"/>
                <w:szCs w:val="20"/>
              </w:rPr>
              <w:t>20,430,251</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30D2992D" w14:textId="63A48758" w:rsidR="00584187" w:rsidRPr="00493042" w:rsidRDefault="00584187" w:rsidP="00584187">
            <w:pPr>
              <w:keepNext/>
              <w:jc w:val="center"/>
              <w:rPr>
                <w:rFonts w:ascii="Calibri" w:hAnsi="Calibri"/>
                <w:sz w:val="20"/>
                <w:szCs w:val="20"/>
              </w:rPr>
            </w:pPr>
            <w:r w:rsidRPr="00493042">
              <w:rPr>
                <w:rFonts w:ascii="Calibri" w:hAnsi="Calibri"/>
                <w:sz w:val="20"/>
                <w:szCs w:val="20"/>
              </w:rPr>
              <w:t>19,792,734</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1A4B136A" w14:textId="40459E8D" w:rsidR="00584187" w:rsidRPr="00493042" w:rsidRDefault="00584187" w:rsidP="00584187">
            <w:pPr>
              <w:keepNext/>
              <w:jc w:val="center"/>
              <w:rPr>
                <w:rFonts w:ascii="Calibri" w:hAnsi="Calibri"/>
                <w:sz w:val="20"/>
                <w:szCs w:val="20"/>
              </w:rPr>
            </w:pPr>
            <w:r w:rsidRPr="00493042">
              <w:rPr>
                <w:rFonts w:ascii="Calibri" w:hAnsi="Calibri"/>
                <w:sz w:val="20"/>
                <w:szCs w:val="20"/>
              </w:rPr>
              <w:t>21,626,252</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4D348899" w14:textId="3CE1F80D" w:rsidR="00584187" w:rsidRPr="00493042" w:rsidRDefault="00584187" w:rsidP="00584187">
            <w:pPr>
              <w:keepNext/>
              <w:jc w:val="center"/>
              <w:rPr>
                <w:rFonts w:ascii="Calibri" w:hAnsi="Calibri"/>
                <w:sz w:val="20"/>
                <w:szCs w:val="20"/>
              </w:rPr>
            </w:pPr>
            <w:r w:rsidRPr="00493042">
              <w:rPr>
                <w:rFonts w:ascii="Calibri" w:hAnsi="Calibri"/>
                <w:sz w:val="20"/>
                <w:szCs w:val="20"/>
              </w:rPr>
              <w:t>23,411,474</w:t>
            </w:r>
          </w:p>
        </w:tc>
        <w:tc>
          <w:tcPr>
            <w:tcW w:w="1303"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73692D2C" w14:textId="0543F7A4" w:rsidR="00584187" w:rsidRPr="00493042" w:rsidRDefault="00081EEC" w:rsidP="00584187">
            <w:pPr>
              <w:keepNext/>
              <w:jc w:val="center"/>
              <w:rPr>
                <w:rFonts w:ascii="Calibri" w:hAnsi="Calibri"/>
                <w:sz w:val="20"/>
                <w:szCs w:val="20"/>
              </w:rPr>
            </w:pPr>
            <w:r w:rsidRPr="00081EEC">
              <w:rPr>
                <w:rFonts w:ascii="Calibri" w:hAnsi="Calibri"/>
                <w:sz w:val="20"/>
                <w:szCs w:val="20"/>
              </w:rPr>
              <w:t>24,430,661</w:t>
            </w:r>
          </w:p>
        </w:tc>
      </w:tr>
      <w:tr w:rsidR="00584187" w:rsidRPr="00493042" w14:paraId="78DDC968" w14:textId="77777777" w:rsidTr="001C42F5">
        <w:trPr>
          <w:trHeight w:val="302"/>
          <w:jc w:val="center"/>
        </w:trPr>
        <w:tc>
          <w:tcPr>
            <w:tcW w:w="3240" w:type="dxa"/>
            <w:tcBorders>
              <w:bottom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2CC11BF4" w14:textId="77777777" w:rsidR="00584187" w:rsidRPr="00493042" w:rsidRDefault="00584187" w:rsidP="00584187">
            <w:pPr>
              <w:keepNext/>
              <w:jc w:val="right"/>
              <w:rPr>
                <w:rFonts w:ascii="Calibri" w:eastAsia="Times New Roman" w:hAnsi="Calibri" w:cs="Arial"/>
                <w:sz w:val="20"/>
                <w:szCs w:val="20"/>
              </w:rPr>
            </w:pPr>
            <w:r w:rsidRPr="00493042">
              <w:rPr>
                <w:rFonts w:ascii="Calibri" w:eastAsia="Times New Roman" w:hAnsi="Calibri" w:cs="Arial"/>
                <w:sz w:val="20"/>
                <w:szCs w:val="20"/>
              </w:rPr>
              <w:t>% of Unrestricted GF Revenues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075A22A1" w14:textId="48997927" w:rsidR="00584187" w:rsidRPr="00493042" w:rsidRDefault="00584187" w:rsidP="00584187">
            <w:pPr>
              <w:keepNext/>
              <w:jc w:val="center"/>
              <w:rPr>
                <w:rFonts w:ascii="Calibri" w:hAnsi="Calibri"/>
                <w:sz w:val="20"/>
                <w:szCs w:val="20"/>
              </w:rPr>
            </w:pPr>
            <w:r w:rsidRPr="00493042">
              <w:rPr>
                <w:rFonts w:ascii="Calibri" w:hAnsi="Calibri"/>
                <w:sz w:val="20"/>
                <w:szCs w:val="20"/>
              </w:rPr>
              <w:t>11.3%</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27EF3CCD" w14:textId="4C63B18C" w:rsidR="00584187" w:rsidRPr="00493042" w:rsidRDefault="00584187" w:rsidP="00584187">
            <w:pPr>
              <w:keepNext/>
              <w:jc w:val="center"/>
              <w:rPr>
                <w:rFonts w:ascii="Calibri" w:hAnsi="Calibri"/>
                <w:sz w:val="20"/>
                <w:szCs w:val="20"/>
              </w:rPr>
            </w:pPr>
            <w:r w:rsidRPr="00493042">
              <w:rPr>
                <w:rFonts w:ascii="Calibri" w:hAnsi="Calibri"/>
                <w:sz w:val="20"/>
                <w:szCs w:val="20"/>
              </w:rPr>
              <w:t>11.1%</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1FFC54CC" w14:textId="1D7551DE" w:rsidR="00584187" w:rsidRPr="00493042" w:rsidRDefault="00584187" w:rsidP="00584187">
            <w:pPr>
              <w:keepNext/>
              <w:jc w:val="center"/>
              <w:rPr>
                <w:rFonts w:ascii="Calibri" w:hAnsi="Calibri"/>
                <w:sz w:val="20"/>
                <w:szCs w:val="20"/>
              </w:rPr>
            </w:pPr>
            <w:r w:rsidRPr="00493042">
              <w:rPr>
                <w:rFonts w:ascii="Calibri" w:hAnsi="Calibri"/>
                <w:sz w:val="20"/>
                <w:szCs w:val="20"/>
              </w:rPr>
              <w:t>11.3%</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vAlign w:val="bottom"/>
          </w:tcPr>
          <w:p w14:paraId="2E4DE529" w14:textId="7CE292BF" w:rsidR="00584187" w:rsidRPr="00493042" w:rsidRDefault="00584187" w:rsidP="00584187">
            <w:pPr>
              <w:keepNext/>
              <w:jc w:val="center"/>
              <w:rPr>
                <w:rFonts w:ascii="Calibri" w:hAnsi="Calibri"/>
                <w:sz w:val="20"/>
                <w:szCs w:val="20"/>
              </w:rPr>
            </w:pPr>
            <w:r w:rsidRPr="00493042">
              <w:rPr>
                <w:rFonts w:ascii="Calibri" w:hAnsi="Calibri"/>
                <w:sz w:val="20"/>
                <w:szCs w:val="20"/>
              </w:rPr>
              <w:t>10.4%</w:t>
            </w:r>
          </w:p>
        </w:tc>
        <w:tc>
          <w:tcPr>
            <w:tcW w:w="1303" w:type="dxa"/>
            <w:tcBorders>
              <w:top w:val="single" w:sz="4" w:space="0" w:color="BFBFBF" w:themeColor="background1" w:themeShade="BF"/>
              <w:bottom w:val="single" w:sz="4" w:space="0" w:color="BFBFBF" w:themeColor="background1" w:themeShade="BF"/>
            </w:tcBorders>
            <w:shd w:val="clear" w:color="auto" w:fill="DBE5F1" w:themeFill="accent1" w:themeFillTint="33"/>
            <w:vAlign w:val="bottom"/>
          </w:tcPr>
          <w:p w14:paraId="7D5D2192" w14:textId="5666773D" w:rsidR="00584187" w:rsidRPr="00493042" w:rsidRDefault="00097AE3" w:rsidP="00584187">
            <w:pPr>
              <w:keepNext/>
              <w:jc w:val="center"/>
              <w:rPr>
                <w:rFonts w:ascii="Calibri" w:hAnsi="Calibri"/>
                <w:sz w:val="20"/>
                <w:szCs w:val="20"/>
              </w:rPr>
            </w:pPr>
            <w:r w:rsidRPr="00097AE3">
              <w:rPr>
                <w:rFonts w:ascii="Calibri" w:hAnsi="Calibri"/>
                <w:sz w:val="20"/>
                <w:szCs w:val="20"/>
              </w:rPr>
              <w:t>11.5%</w:t>
            </w:r>
          </w:p>
        </w:tc>
      </w:tr>
      <w:tr w:rsidR="00584187" w:rsidRPr="00493042" w14:paraId="0FCE9C4D" w14:textId="77777777" w:rsidTr="001C42F5">
        <w:trPr>
          <w:trHeight w:val="302"/>
          <w:jc w:val="center"/>
        </w:trPr>
        <w:tc>
          <w:tcPr>
            <w:tcW w:w="324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6F84A638" w14:textId="77777777" w:rsidR="00584187" w:rsidRPr="00493042" w:rsidRDefault="00584187" w:rsidP="00584187">
            <w:pPr>
              <w:keepNext/>
              <w:rPr>
                <w:rFonts w:ascii="Calibri" w:eastAsia="Times New Roman" w:hAnsi="Calibri" w:cs="Arial"/>
                <w:sz w:val="20"/>
                <w:szCs w:val="20"/>
              </w:rPr>
            </w:pPr>
            <w:r w:rsidRPr="00493042">
              <w:rPr>
                <w:rFonts w:ascii="Calibri" w:eastAsia="Times New Roman" w:hAnsi="Calibri" w:cs="Arial"/>
                <w:sz w:val="20"/>
                <w:szCs w:val="20"/>
              </w:rPr>
              <w:t>Admin  9</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4EE9B3E5" w14:textId="6928F090" w:rsidR="00584187" w:rsidRPr="00493042" w:rsidRDefault="00584187" w:rsidP="00584187">
            <w:pPr>
              <w:keepNext/>
              <w:jc w:val="center"/>
              <w:rPr>
                <w:rFonts w:ascii="Calibri" w:hAnsi="Calibri"/>
                <w:sz w:val="20"/>
                <w:szCs w:val="20"/>
              </w:rPr>
            </w:pPr>
            <w:r w:rsidRPr="00493042">
              <w:rPr>
                <w:rFonts w:ascii="Calibri" w:hAnsi="Calibri"/>
                <w:sz w:val="20"/>
                <w:szCs w:val="20"/>
              </w:rPr>
              <w:t xml:space="preserve">19,425,528 </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76A73446" w14:textId="6FC9927B" w:rsidR="00584187" w:rsidRPr="00493042" w:rsidRDefault="00584187" w:rsidP="00584187">
            <w:pPr>
              <w:keepNext/>
              <w:jc w:val="center"/>
              <w:rPr>
                <w:rFonts w:ascii="Calibri" w:hAnsi="Calibri"/>
                <w:sz w:val="20"/>
                <w:szCs w:val="20"/>
              </w:rPr>
            </w:pPr>
            <w:r w:rsidRPr="00493042">
              <w:rPr>
                <w:rFonts w:ascii="Calibri" w:hAnsi="Calibri"/>
                <w:sz w:val="20"/>
                <w:szCs w:val="20"/>
              </w:rPr>
              <w:t xml:space="preserve">22,524,772 </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078D6AB4" w14:textId="21B3E864" w:rsidR="00584187" w:rsidRPr="00493042" w:rsidRDefault="00584187" w:rsidP="00584187">
            <w:pPr>
              <w:keepNext/>
              <w:jc w:val="center"/>
              <w:rPr>
                <w:rFonts w:ascii="Calibri" w:hAnsi="Calibri"/>
                <w:sz w:val="20"/>
                <w:szCs w:val="20"/>
              </w:rPr>
            </w:pPr>
            <w:r w:rsidRPr="00493042">
              <w:rPr>
                <w:rFonts w:ascii="Calibri" w:hAnsi="Calibri"/>
                <w:sz w:val="20"/>
                <w:szCs w:val="20"/>
              </w:rPr>
              <w:t xml:space="preserve">24,253,609 </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574325E0" w14:textId="754F56DF" w:rsidR="00584187" w:rsidRPr="00493042" w:rsidRDefault="00584187" w:rsidP="00584187">
            <w:pPr>
              <w:keepNext/>
              <w:jc w:val="center"/>
              <w:rPr>
                <w:rFonts w:ascii="Calibri" w:hAnsi="Calibri"/>
                <w:sz w:val="20"/>
                <w:szCs w:val="20"/>
              </w:rPr>
            </w:pPr>
            <w:r w:rsidRPr="00493042">
              <w:rPr>
                <w:rFonts w:ascii="Calibri" w:hAnsi="Calibri"/>
                <w:sz w:val="20"/>
                <w:szCs w:val="20"/>
              </w:rPr>
              <w:t xml:space="preserve">26,061,272 </w:t>
            </w:r>
          </w:p>
        </w:tc>
        <w:tc>
          <w:tcPr>
            <w:tcW w:w="1303" w:type="dxa"/>
            <w:tcBorders>
              <w:top w:val="single" w:sz="4" w:space="0" w:color="BFBFBF" w:themeColor="background1" w:themeShade="BF"/>
              <w:bottom w:val="single" w:sz="4" w:space="0" w:color="BFBFBF" w:themeColor="background1" w:themeShade="BF"/>
            </w:tcBorders>
            <w:shd w:val="clear" w:color="auto" w:fill="auto"/>
            <w:vAlign w:val="bottom"/>
          </w:tcPr>
          <w:p w14:paraId="4610DBD7" w14:textId="79AF489C" w:rsidR="00584187" w:rsidRPr="00493042" w:rsidRDefault="00081EEC" w:rsidP="00584187">
            <w:pPr>
              <w:keepNext/>
              <w:jc w:val="center"/>
              <w:rPr>
                <w:rFonts w:ascii="Calibri" w:hAnsi="Calibri"/>
                <w:sz w:val="20"/>
                <w:szCs w:val="20"/>
              </w:rPr>
            </w:pPr>
            <w:r w:rsidRPr="00081EEC">
              <w:rPr>
                <w:rFonts w:ascii="Calibri" w:hAnsi="Calibri"/>
                <w:sz w:val="20"/>
                <w:szCs w:val="20"/>
              </w:rPr>
              <w:t>19,858,577</w:t>
            </w:r>
          </w:p>
        </w:tc>
      </w:tr>
      <w:tr w:rsidR="00584187" w:rsidRPr="00493042" w14:paraId="76C22E06" w14:textId="77777777" w:rsidTr="001C42F5">
        <w:trPr>
          <w:trHeight w:val="302"/>
          <w:jc w:val="center"/>
        </w:trPr>
        <w:tc>
          <w:tcPr>
            <w:tcW w:w="324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44EFD9C" w14:textId="77777777" w:rsidR="00584187" w:rsidRPr="00493042" w:rsidRDefault="00584187" w:rsidP="00584187">
            <w:pPr>
              <w:keepNext/>
              <w:jc w:val="right"/>
              <w:rPr>
                <w:rFonts w:ascii="Calibri" w:eastAsia="Times New Roman" w:hAnsi="Calibri" w:cs="Arial"/>
                <w:sz w:val="20"/>
                <w:szCs w:val="20"/>
              </w:rPr>
            </w:pPr>
            <w:r w:rsidRPr="00493042">
              <w:rPr>
                <w:rFonts w:ascii="Calibri" w:eastAsia="Times New Roman" w:hAnsi="Calibri" w:cs="Arial"/>
                <w:sz w:val="20"/>
                <w:szCs w:val="20"/>
              </w:rPr>
              <w:t>% of Unrestricted GF Revenues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563EFA9" w14:textId="32668527" w:rsidR="00584187" w:rsidRPr="00493042" w:rsidRDefault="00584187" w:rsidP="00584187">
            <w:pPr>
              <w:keepNext/>
              <w:jc w:val="center"/>
              <w:rPr>
                <w:rFonts w:ascii="Calibri" w:hAnsi="Calibri"/>
                <w:sz w:val="20"/>
                <w:szCs w:val="20"/>
              </w:rPr>
            </w:pPr>
            <w:r w:rsidRPr="00493042">
              <w:rPr>
                <w:rFonts w:ascii="Calibri" w:hAnsi="Calibri"/>
                <w:sz w:val="20"/>
                <w:szCs w:val="20"/>
              </w:rPr>
              <w:t>10.7%</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45EE03C1" w14:textId="30C5E582" w:rsidR="00584187" w:rsidRPr="00493042" w:rsidRDefault="00584187" w:rsidP="00584187">
            <w:pPr>
              <w:keepNext/>
              <w:jc w:val="center"/>
              <w:rPr>
                <w:rFonts w:ascii="Calibri" w:hAnsi="Calibri"/>
                <w:sz w:val="20"/>
                <w:szCs w:val="20"/>
              </w:rPr>
            </w:pPr>
            <w:r w:rsidRPr="00493042">
              <w:rPr>
                <w:rFonts w:ascii="Calibri" w:hAnsi="Calibri"/>
                <w:sz w:val="20"/>
                <w:szCs w:val="20"/>
              </w:rPr>
              <w:t>12.6%</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5712E964" w14:textId="02934F37" w:rsidR="00584187" w:rsidRPr="00493042" w:rsidRDefault="00584187" w:rsidP="00584187">
            <w:pPr>
              <w:keepNext/>
              <w:jc w:val="center"/>
              <w:rPr>
                <w:rFonts w:ascii="Calibri" w:hAnsi="Calibri"/>
                <w:sz w:val="20"/>
                <w:szCs w:val="20"/>
              </w:rPr>
            </w:pPr>
            <w:r w:rsidRPr="00493042">
              <w:rPr>
                <w:rFonts w:ascii="Calibri" w:hAnsi="Calibri"/>
                <w:sz w:val="20"/>
                <w:szCs w:val="20"/>
              </w:rPr>
              <w:t>12.7%</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0B9078D9" w14:textId="4439FCAA" w:rsidR="00584187" w:rsidRPr="00493042" w:rsidRDefault="00584187" w:rsidP="00584187">
            <w:pPr>
              <w:keepNext/>
              <w:jc w:val="center"/>
              <w:rPr>
                <w:rFonts w:ascii="Calibri" w:hAnsi="Calibri"/>
                <w:sz w:val="20"/>
                <w:szCs w:val="20"/>
              </w:rPr>
            </w:pPr>
            <w:r w:rsidRPr="00493042">
              <w:rPr>
                <w:rFonts w:ascii="Calibri" w:hAnsi="Calibri"/>
                <w:sz w:val="20"/>
                <w:szCs w:val="20"/>
              </w:rPr>
              <w:t>11.6%</w:t>
            </w:r>
          </w:p>
        </w:tc>
        <w:tc>
          <w:tcPr>
            <w:tcW w:w="1303" w:type="dxa"/>
            <w:tcBorders>
              <w:top w:val="single" w:sz="4" w:space="0" w:color="BFBFBF" w:themeColor="background1" w:themeShade="BF"/>
              <w:bottom w:val="single" w:sz="4" w:space="0" w:color="BFBFBF" w:themeColor="background1" w:themeShade="BF"/>
            </w:tcBorders>
            <w:shd w:val="clear" w:color="auto" w:fill="auto"/>
            <w:vAlign w:val="bottom"/>
          </w:tcPr>
          <w:p w14:paraId="4078D64D" w14:textId="6F698AA3" w:rsidR="00584187" w:rsidRPr="00493042" w:rsidRDefault="00097AE3" w:rsidP="00584187">
            <w:pPr>
              <w:keepNext/>
              <w:jc w:val="center"/>
              <w:rPr>
                <w:rFonts w:ascii="Calibri" w:hAnsi="Calibri"/>
                <w:sz w:val="20"/>
                <w:szCs w:val="20"/>
              </w:rPr>
            </w:pPr>
            <w:r w:rsidRPr="00097AE3">
              <w:rPr>
                <w:rFonts w:ascii="Calibri" w:hAnsi="Calibri"/>
                <w:sz w:val="20"/>
                <w:szCs w:val="20"/>
              </w:rPr>
              <w:t>9.3%</w:t>
            </w:r>
          </w:p>
        </w:tc>
      </w:tr>
      <w:tr w:rsidR="00584187" w:rsidRPr="00493042" w14:paraId="4BB34095" w14:textId="77777777" w:rsidTr="001C42F5">
        <w:trPr>
          <w:trHeight w:val="302"/>
          <w:jc w:val="center"/>
        </w:trPr>
        <w:tc>
          <w:tcPr>
            <w:tcW w:w="324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126C8528" w14:textId="77777777" w:rsidR="00584187" w:rsidRPr="00493042" w:rsidRDefault="00584187" w:rsidP="00584187">
            <w:pPr>
              <w:keepNext/>
              <w:rPr>
                <w:rFonts w:ascii="Calibri" w:eastAsia="Times New Roman" w:hAnsi="Calibri" w:cs="Arial"/>
                <w:sz w:val="20"/>
                <w:szCs w:val="20"/>
              </w:rPr>
            </w:pPr>
            <w:r w:rsidRPr="00493042">
              <w:rPr>
                <w:rFonts w:ascii="Calibri" w:eastAsia="Times New Roman" w:hAnsi="Calibri" w:cs="Arial"/>
                <w:sz w:val="20"/>
                <w:szCs w:val="20"/>
              </w:rPr>
              <w:t>District  Office</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683D1570" w14:textId="0AC43B7A" w:rsidR="00584187" w:rsidRPr="00493042" w:rsidRDefault="00584187" w:rsidP="00584187">
            <w:pPr>
              <w:keepNext/>
              <w:jc w:val="center"/>
              <w:rPr>
                <w:rFonts w:ascii="Calibri" w:hAnsi="Calibri"/>
                <w:sz w:val="20"/>
                <w:szCs w:val="20"/>
              </w:rPr>
            </w:pPr>
            <w:r w:rsidRPr="00493042">
              <w:rPr>
                <w:rFonts w:ascii="Calibri" w:hAnsi="Calibri"/>
                <w:sz w:val="20"/>
                <w:szCs w:val="20"/>
              </w:rPr>
              <w:t>10,380,014</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0A6C5596" w14:textId="66F3E9EB" w:rsidR="00584187" w:rsidRPr="00493042" w:rsidRDefault="00584187" w:rsidP="00584187">
            <w:pPr>
              <w:keepNext/>
              <w:jc w:val="center"/>
              <w:rPr>
                <w:rFonts w:ascii="Calibri" w:hAnsi="Calibri"/>
                <w:sz w:val="20"/>
                <w:szCs w:val="20"/>
              </w:rPr>
            </w:pPr>
            <w:r w:rsidRPr="00493042">
              <w:rPr>
                <w:rFonts w:ascii="Calibri" w:hAnsi="Calibri"/>
                <w:sz w:val="20"/>
                <w:szCs w:val="20"/>
              </w:rPr>
              <w:t>16,295,794</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791C248B" w14:textId="600AAB18" w:rsidR="00584187" w:rsidRPr="00493042" w:rsidRDefault="00584187" w:rsidP="00584187">
            <w:pPr>
              <w:keepNext/>
              <w:jc w:val="center"/>
              <w:rPr>
                <w:rFonts w:ascii="Calibri" w:hAnsi="Calibri"/>
                <w:sz w:val="20"/>
                <w:szCs w:val="20"/>
              </w:rPr>
            </w:pPr>
            <w:r w:rsidRPr="00493042">
              <w:rPr>
                <w:rFonts w:ascii="Calibri" w:hAnsi="Calibri"/>
                <w:sz w:val="20"/>
                <w:szCs w:val="20"/>
              </w:rPr>
              <w:t>17,325,390</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47B2EC85" w14:textId="41EE46DC" w:rsidR="00584187" w:rsidRPr="00493042" w:rsidRDefault="00584187" w:rsidP="00584187">
            <w:pPr>
              <w:keepNext/>
              <w:jc w:val="center"/>
              <w:rPr>
                <w:rFonts w:ascii="Calibri" w:hAnsi="Calibri"/>
                <w:sz w:val="20"/>
                <w:szCs w:val="20"/>
              </w:rPr>
            </w:pPr>
            <w:r w:rsidRPr="00493042">
              <w:rPr>
                <w:rFonts w:ascii="Calibri" w:hAnsi="Calibri"/>
                <w:sz w:val="20"/>
                <w:szCs w:val="20"/>
              </w:rPr>
              <w:t>18,252,809</w:t>
            </w:r>
          </w:p>
        </w:tc>
        <w:tc>
          <w:tcPr>
            <w:tcW w:w="1303" w:type="dxa"/>
            <w:tcBorders>
              <w:top w:val="single" w:sz="4" w:space="0" w:color="BFBFBF" w:themeColor="background1" w:themeShade="BF"/>
              <w:bottom w:val="single" w:sz="4" w:space="0" w:color="BFBFBF" w:themeColor="background1" w:themeShade="BF"/>
            </w:tcBorders>
            <w:shd w:val="clear" w:color="auto" w:fill="auto"/>
            <w:vAlign w:val="bottom"/>
          </w:tcPr>
          <w:p w14:paraId="36288641" w14:textId="60ED3320" w:rsidR="00584187" w:rsidRPr="00493042" w:rsidRDefault="00081EEC" w:rsidP="00584187">
            <w:pPr>
              <w:keepNext/>
              <w:jc w:val="center"/>
              <w:rPr>
                <w:rFonts w:ascii="Calibri" w:hAnsi="Calibri"/>
                <w:sz w:val="20"/>
                <w:szCs w:val="20"/>
              </w:rPr>
            </w:pPr>
            <w:r w:rsidRPr="00081EEC">
              <w:rPr>
                <w:rFonts w:ascii="Calibri" w:hAnsi="Calibri"/>
                <w:sz w:val="20"/>
                <w:szCs w:val="20"/>
              </w:rPr>
              <w:t>18,463,817</w:t>
            </w:r>
          </w:p>
        </w:tc>
      </w:tr>
      <w:tr w:rsidR="00584187" w:rsidRPr="00493042" w14:paraId="2118C3EC" w14:textId="77777777" w:rsidTr="001C42F5">
        <w:trPr>
          <w:trHeight w:val="302"/>
          <w:jc w:val="center"/>
        </w:trPr>
        <w:tc>
          <w:tcPr>
            <w:tcW w:w="324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6C16D38" w14:textId="77777777" w:rsidR="00584187" w:rsidRPr="00493042" w:rsidRDefault="00584187" w:rsidP="00584187">
            <w:pPr>
              <w:keepNext/>
              <w:jc w:val="right"/>
              <w:rPr>
                <w:rFonts w:ascii="Calibri" w:eastAsia="Times New Roman" w:hAnsi="Calibri" w:cs="Arial"/>
                <w:sz w:val="20"/>
                <w:szCs w:val="20"/>
              </w:rPr>
            </w:pPr>
            <w:r w:rsidRPr="00493042">
              <w:rPr>
                <w:rFonts w:ascii="Calibri" w:eastAsia="Times New Roman" w:hAnsi="Calibri" w:cs="Arial"/>
                <w:sz w:val="20"/>
                <w:szCs w:val="20"/>
              </w:rPr>
              <w:t>% of Unrestricted GF Revenues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bottom"/>
          </w:tcPr>
          <w:p w14:paraId="3587D60F" w14:textId="2D6A469A" w:rsidR="00584187" w:rsidRPr="00493042" w:rsidRDefault="00584187" w:rsidP="00584187">
            <w:pPr>
              <w:keepNext/>
              <w:jc w:val="center"/>
              <w:rPr>
                <w:rFonts w:ascii="Calibri" w:hAnsi="Calibri"/>
                <w:sz w:val="20"/>
                <w:szCs w:val="20"/>
              </w:rPr>
            </w:pPr>
            <w:r w:rsidRPr="00493042">
              <w:rPr>
                <w:rFonts w:ascii="Calibri" w:hAnsi="Calibri"/>
                <w:sz w:val="20"/>
                <w:szCs w:val="20"/>
              </w:rPr>
              <w:t>5.7%</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372BD9B0" w14:textId="23880B13" w:rsidR="00584187" w:rsidRPr="00493042" w:rsidRDefault="00584187" w:rsidP="00584187">
            <w:pPr>
              <w:keepNext/>
              <w:jc w:val="center"/>
              <w:rPr>
                <w:rFonts w:ascii="Calibri" w:hAnsi="Calibri"/>
                <w:sz w:val="20"/>
                <w:szCs w:val="20"/>
              </w:rPr>
            </w:pPr>
            <w:r w:rsidRPr="00493042">
              <w:rPr>
                <w:rFonts w:ascii="Calibri" w:hAnsi="Calibri"/>
                <w:sz w:val="20"/>
                <w:szCs w:val="20"/>
              </w:rPr>
              <w:t>9.1%</w:t>
            </w:r>
          </w:p>
        </w:tc>
        <w:tc>
          <w:tcPr>
            <w:tcW w:w="1584" w:type="dxa"/>
            <w:tcBorders>
              <w:top w:val="single" w:sz="4" w:space="0" w:color="BFBFBF" w:themeColor="background1" w:themeShade="BF"/>
              <w:bottom w:val="single" w:sz="4" w:space="0" w:color="BFBFBF" w:themeColor="background1" w:themeShade="BF"/>
            </w:tcBorders>
            <w:shd w:val="clear" w:color="auto" w:fill="auto"/>
            <w:vAlign w:val="bottom"/>
          </w:tcPr>
          <w:p w14:paraId="284AFF6B" w14:textId="4C027CAF" w:rsidR="00584187" w:rsidRPr="00493042" w:rsidRDefault="00584187" w:rsidP="00584187">
            <w:pPr>
              <w:keepNext/>
              <w:jc w:val="center"/>
              <w:rPr>
                <w:rFonts w:ascii="Calibri" w:hAnsi="Calibri"/>
                <w:sz w:val="20"/>
                <w:szCs w:val="20"/>
              </w:rPr>
            </w:pPr>
            <w:r w:rsidRPr="00493042">
              <w:rPr>
                <w:rFonts w:ascii="Calibri" w:hAnsi="Calibri"/>
                <w:sz w:val="20"/>
                <w:szCs w:val="20"/>
              </w:rPr>
              <w:t>9.1%</w:t>
            </w:r>
          </w:p>
        </w:tc>
        <w:tc>
          <w:tcPr>
            <w:tcW w:w="1584" w:type="dxa"/>
            <w:tcBorders>
              <w:top w:val="single" w:sz="4" w:space="0" w:color="BFBFBF" w:themeColor="background1" w:themeShade="BF"/>
              <w:bottom w:val="single" w:sz="4" w:space="0" w:color="BFBFBF" w:themeColor="background1" w:themeShade="BF"/>
            </w:tcBorders>
            <w:shd w:val="clear" w:color="auto" w:fill="auto"/>
            <w:noWrap/>
            <w:vAlign w:val="bottom"/>
          </w:tcPr>
          <w:p w14:paraId="6035747A" w14:textId="4AF68A52" w:rsidR="00584187" w:rsidRPr="00493042" w:rsidRDefault="00584187" w:rsidP="00584187">
            <w:pPr>
              <w:keepNext/>
              <w:jc w:val="center"/>
              <w:rPr>
                <w:rFonts w:ascii="Calibri" w:hAnsi="Calibri"/>
                <w:sz w:val="20"/>
                <w:szCs w:val="20"/>
              </w:rPr>
            </w:pPr>
            <w:r w:rsidRPr="00493042">
              <w:rPr>
                <w:rFonts w:ascii="Calibri" w:hAnsi="Calibri"/>
                <w:sz w:val="20"/>
                <w:szCs w:val="20"/>
              </w:rPr>
              <w:t>8.1%</w:t>
            </w:r>
          </w:p>
        </w:tc>
        <w:tc>
          <w:tcPr>
            <w:tcW w:w="1303" w:type="dxa"/>
            <w:tcBorders>
              <w:top w:val="single" w:sz="4" w:space="0" w:color="BFBFBF" w:themeColor="background1" w:themeShade="BF"/>
              <w:bottom w:val="single" w:sz="4" w:space="0" w:color="BFBFBF" w:themeColor="background1" w:themeShade="BF"/>
            </w:tcBorders>
            <w:shd w:val="clear" w:color="auto" w:fill="auto"/>
            <w:vAlign w:val="bottom"/>
          </w:tcPr>
          <w:p w14:paraId="7DC24688" w14:textId="3EF34E8A" w:rsidR="00584187" w:rsidRPr="00493042" w:rsidRDefault="00097AE3" w:rsidP="00584187">
            <w:pPr>
              <w:keepNext/>
              <w:jc w:val="center"/>
              <w:rPr>
                <w:rFonts w:ascii="Calibri" w:hAnsi="Calibri"/>
                <w:sz w:val="20"/>
                <w:szCs w:val="20"/>
              </w:rPr>
            </w:pPr>
            <w:r w:rsidRPr="00097AE3">
              <w:rPr>
                <w:rFonts w:ascii="Calibri" w:hAnsi="Calibri"/>
                <w:sz w:val="20"/>
                <w:szCs w:val="20"/>
              </w:rPr>
              <w:t>8.7%</w:t>
            </w:r>
          </w:p>
        </w:tc>
      </w:tr>
      <w:tr w:rsidR="00081EEC" w:rsidRPr="00493042" w14:paraId="40949939" w14:textId="77777777" w:rsidTr="00476DBA">
        <w:trPr>
          <w:trHeight w:val="302"/>
          <w:jc w:val="center"/>
        </w:trPr>
        <w:tc>
          <w:tcPr>
            <w:tcW w:w="324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14:paraId="4E20F998" w14:textId="77777777" w:rsidR="00081EEC" w:rsidRPr="00493042" w:rsidRDefault="00081EEC" w:rsidP="00081EEC">
            <w:pPr>
              <w:keepNext/>
              <w:rPr>
                <w:rFonts w:ascii="Calibri" w:eastAsia="Times New Roman" w:hAnsi="Calibri" w:cs="Arial"/>
                <w:sz w:val="20"/>
                <w:szCs w:val="20"/>
              </w:rPr>
            </w:pPr>
            <w:r w:rsidRPr="00493042">
              <w:rPr>
                <w:rFonts w:ascii="Calibri" w:eastAsia="Times New Roman" w:hAnsi="Calibri" w:cs="Arial"/>
                <w:sz w:val="20"/>
                <w:szCs w:val="20"/>
              </w:rPr>
              <w:t>District-wide  (DW)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tcPr>
          <w:p w14:paraId="62141349" w14:textId="5BCEC68D" w:rsidR="00081EEC" w:rsidRPr="00081EEC" w:rsidRDefault="00081EEC" w:rsidP="00081EEC">
            <w:pPr>
              <w:keepNext/>
              <w:jc w:val="center"/>
              <w:rPr>
                <w:rFonts w:ascii="Calibri" w:hAnsi="Calibri"/>
                <w:sz w:val="20"/>
                <w:szCs w:val="20"/>
              </w:rPr>
            </w:pPr>
            <w:r w:rsidRPr="00081EEC">
              <w:rPr>
                <w:rFonts w:ascii="Calibri" w:hAnsi="Calibri"/>
                <w:sz w:val="20"/>
                <w:szCs w:val="20"/>
              </w:rPr>
              <w:t>155,901,870</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3734B3E8" w14:textId="7B8101D7" w:rsidR="00081EEC" w:rsidRPr="00081EEC" w:rsidRDefault="00081EEC" w:rsidP="00081EEC">
            <w:pPr>
              <w:keepNext/>
              <w:jc w:val="center"/>
              <w:rPr>
                <w:rFonts w:ascii="Calibri" w:hAnsi="Calibri"/>
                <w:sz w:val="20"/>
                <w:szCs w:val="20"/>
              </w:rPr>
            </w:pPr>
            <w:r w:rsidRPr="00081EEC">
              <w:rPr>
                <w:rFonts w:ascii="Calibri" w:hAnsi="Calibri"/>
                <w:sz w:val="20"/>
                <w:szCs w:val="20"/>
              </w:rPr>
              <w:t>162,079,461</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BE6A3B1" w14:textId="250DD2C2" w:rsidR="00081EEC" w:rsidRPr="00081EEC" w:rsidRDefault="00081EEC" w:rsidP="00081EEC">
            <w:pPr>
              <w:keepNext/>
              <w:jc w:val="center"/>
              <w:rPr>
                <w:rFonts w:ascii="Calibri" w:hAnsi="Calibri"/>
                <w:sz w:val="20"/>
                <w:szCs w:val="20"/>
              </w:rPr>
            </w:pPr>
            <w:r w:rsidRPr="00081EEC">
              <w:rPr>
                <w:rFonts w:ascii="Calibri" w:hAnsi="Calibri"/>
                <w:sz w:val="20"/>
                <w:szCs w:val="20"/>
              </w:rPr>
              <w:t>174,336,399</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5A22CA64" w14:textId="2BB2B970" w:rsidR="00081EEC" w:rsidRPr="00081EEC" w:rsidRDefault="00081EEC" w:rsidP="00081EEC">
            <w:pPr>
              <w:keepNext/>
              <w:jc w:val="center"/>
              <w:rPr>
                <w:rFonts w:ascii="Calibri" w:hAnsi="Calibri"/>
                <w:sz w:val="20"/>
                <w:szCs w:val="20"/>
              </w:rPr>
            </w:pPr>
            <w:r w:rsidRPr="00081EEC">
              <w:rPr>
                <w:rFonts w:ascii="Calibri" w:hAnsi="Calibri"/>
                <w:sz w:val="20"/>
                <w:szCs w:val="20"/>
              </w:rPr>
              <w:t>183,038,538</w:t>
            </w:r>
          </w:p>
        </w:tc>
        <w:tc>
          <w:tcPr>
            <w:tcW w:w="1303"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03BB395F" w14:textId="06BB7F4D" w:rsidR="00081EEC" w:rsidRPr="00081EEC" w:rsidRDefault="00081EEC" w:rsidP="00081EEC">
            <w:pPr>
              <w:keepNext/>
              <w:jc w:val="center"/>
              <w:rPr>
                <w:rFonts w:ascii="Calibri" w:hAnsi="Calibri"/>
                <w:sz w:val="20"/>
                <w:szCs w:val="20"/>
              </w:rPr>
            </w:pPr>
            <w:r w:rsidRPr="00081EEC">
              <w:rPr>
                <w:rFonts w:ascii="Calibri" w:hAnsi="Calibri"/>
                <w:sz w:val="20"/>
                <w:szCs w:val="20"/>
              </w:rPr>
              <w:t>184,876,540</w:t>
            </w:r>
          </w:p>
        </w:tc>
      </w:tr>
      <w:tr w:rsidR="00584187" w:rsidRPr="00493042" w14:paraId="7FF19C1A" w14:textId="77777777" w:rsidTr="001C42F5">
        <w:trPr>
          <w:trHeight w:val="302"/>
          <w:jc w:val="center"/>
        </w:trPr>
        <w:tc>
          <w:tcPr>
            <w:tcW w:w="3240" w:type="dxa"/>
            <w:tcBorders>
              <w:left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14:paraId="1FC703E3" w14:textId="77777777" w:rsidR="00584187" w:rsidRPr="00493042" w:rsidRDefault="00584187" w:rsidP="00584187">
            <w:pPr>
              <w:keepNext/>
              <w:jc w:val="right"/>
              <w:rPr>
                <w:rFonts w:ascii="Calibri" w:eastAsia="Times New Roman" w:hAnsi="Calibri" w:cs="Arial"/>
                <w:sz w:val="20"/>
                <w:szCs w:val="20"/>
              </w:rPr>
            </w:pPr>
            <w:r w:rsidRPr="00493042">
              <w:rPr>
                <w:rFonts w:ascii="Calibri" w:eastAsia="Times New Roman" w:hAnsi="Calibri" w:cs="Arial"/>
                <w:sz w:val="20"/>
                <w:szCs w:val="20"/>
              </w:rPr>
              <w:t>% of Unrestricted GF Revenues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30ECEFAF" w14:textId="48BC8F16" w:rsidR="00584187" w:rsidRPr="00493042" w:rsidRDefault="00584187" w:rsidP="00584187">
            <w:pPr>
              <w:keepNext/>
              <w:jc w:val="center"/>
              <w:rPr>
                <w:rFonts w:ascii="Calibri" w:hAnsi="Calibri"/>
                <w:sz w:val="20"/>
                <w:szCs w:val="20"/>
              </w:rPr>
            </w:pPr>
            <w:r w:rsidRPr="00493042">
              <w:rPr>
                <w:rFonts w:ascii="Calibri" w:hAnsi="Calibri"/>
                <w:sz w:val="20"/>
                <w:szCs w:val="20"/>
              </w:rPr>
              <w:t>85.9%</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0CB3ECB6" w14:textId="584153E3" w:rsidR="00584187" w:rsidRPr="00493042" w:rsidRDefault="00584187" w:rsidP="00584187">
            <w:pPr>
              <w:keepNext/>
              <w:jc w:val="center"/>
              <w:rPr>
                <w:rFonts w:ascii="Calibri" w:hAnsi="Calibri"/>
                <w:sz w:val="20"/>
                <w:szCs w:val="20"/>
              </w:rPr>
            </w:pPr>
            <w:r w:rsidRPr="00493042">
              <w:rPr>
                <w:rFonts w:ascii="Calibri" w:hAnsi="Calibri"/>
                <w:sz w:val="20"/>
                <w:szCs w:val="20"/>
              </w:rPr>
              <w:t>90.5%</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bottom"/>
          </w:tcPr>
          <w:p w14:paraId="6D8CB750" w14:textId="62C3F195" w:rsidR="00584187" w:rsidRPr="00493042" w:rsidRDefault="00584187" w:rsidP="00584187">
            <w:pPr>
              <w:keepNext/>
              <w:jc w:val="center"/>
              <w:rPr>
                <w:rFonts w:ascii="Calibri" w:hAnsi="Calibri"/>
                <w:sz w:val="20"/>
                <w:szCs w:val="20"/>
              </w:rPr>
            </w:pPr>
            <w:r w:rsidRPr="00493042">
              <w:rPr>
                <w:rFonts w:ascii="Calibri" w:hAnsi="Calibri"/>
                <w:sz w:val="20"/>
                <w:szCs w:val="20"/>
              </w:rPr>
              <w:t>91.5%</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vAlign w:val="bottom"/>
          </w:tcPr>
          <w:p w14:paraId="4A6176EA" w14:textId="380FB85B" w:rsidR="00584187" w:rsidRPr="00493042" w:rsidRDefault="00584187" w:rsidP="00584187">
            <w:pPr>
              <w:keepNext/>
              <w:jc w:val="center"/>
              <w:rPr>
                <w:rFonts w:ascii="Calibri" w:hAnsi="Calibri"/>
                <w:sz w:val="20"/>
                <w:szCs w:val="20"/>
              </w:rPr>
            </w:pPr>
            <w:r w:rsidRPr="00493042">
              <w:rPr>
                <w:rFonts w:ascii="Calibri" w:hAnsi="Calibri"/>
                <w:sz w:val="20"/>
                <w:szCs w:val="20"/>
              </w:rPr>
              <w:t>81.2%</w:t>
            </w:r>
          </w:p>
        </w:tc>
        <w:tc>
          <w:tcPr>
            <w:tcW w:w="1303" w:type="dxa"/>
            <w:tcBorders>
              <w:top w:val="single" w:sz="4" w:space="0" w:color="BFBFBF" w:themeColor="background1" w:themeShade="BF"/>
              <w:bottom w:val="single" w:sz="4" w:space="0" w:color="BFBFBF" w:themeColor="background1" w:themeShade="BF"/>
            </w:tcBorders>
            <w:shd w:val="clear" w:color="auto" w:fill="D9D9D9" w:themeFill="background1" w:themeFillShade="D9"/>
            <w:vAlign w:val="bottom"/>
          </w:tcPr>
          <w:p w14:paraId="181BDCC8" w14:textId="304A5C0D" w:rsidR="00584187" w:rsidRPr="00493042" w:rsidRDefault="00081EEC" w:rsidP="00584187">
            <w:pPr>
              <w:keepNext/>
              <w:jc w:val="center"/>
              <w:rPr>
                <w:rFonts w:ascii="Calibri" w:hAnsi="Calibri"/>
                <w:sz w:val="20"/>
                <w:szCs w:val="20"/>
              </w:rPr>
            </w:pPr>
            <w:r w:rsidRPr="00081EEC">
              <w:rPr>
                <w:rFonts w:ascii="Calibri" w:hAnsi="Calibri"/>
                <w:sz w:val="20"/>
                <w:szCs w:val="20"/>
              </w:rPr>
              <w:t>87.0%</w:t>
            </w:r>
          </w:p>
        </w:tc>
      </w:tr>
      <w:tr w:rsidR="00584187" w:rsidRPr="00493042" w14:paraId="42FA0D65" w14:textId="77777777" w:rsidTr="001C42F5">
        <w:trPr>
          <w:trHeight w:val="302"/>
          <w:jc w:val="center"/>
        </w:trPr>
        <w:tc>
          <w:tcPr>
            <w:tcW w:w="324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2FE7B2B" w14:textId="77777777" w:rsidR="00584187" w:rsidRPr="00493042" w:rsidRDefault="00584187" w:rsidP="00584187">
            <w:pPr>
              <w:keepNext/>
              <w:jc w:val="right"/>
              <w:rPr>
                <w:rFonts w:ascii="Calibri" w:eastAsia="Times New Roman" w:hAnsi="Calibri" w:cs="Arial"/>
                <w:sz w:val="20"/>
                <w:szCs w:val="20"/>
              </w:rPr>
            </w:pPr>
            <w:r w:rsidRPr="00493042">
              <w:rPr>
                <w:rFonts w:ascii="Calibri" w:eastAsia="Times New Roman" w:hAnsi="Calibri" w:cs="Arial"/>
                <w:sz w:val="20"/>
                <w:szCs w:val="20"/>
              </w:rPr>
              <w:t>Unrestricted GF Revenues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27C805DA" w14:textId="473B0630" w:rsidR="00584187" w:rsidRPr="00493042" w:rsidRDefault="00584187" w:rsidP="00584187">
            <w:pPr>
              <w:keepNext/>
              <w:jc w:val="center"/>
              <w:rPr>
                <w:rFonts w:ascii="Calibri" w:hAnsi="Calibri"/>
                <w:sz w:val="20"/>
                <w:szCs w:val="20"/>
              </w:rPr>
            </w:pPr>
            <w:r w:rsidRPr="00493042">
              <w:rPr>
                <w:rFonts w:ascii="Calibri" w:hAnsi="Calibri"/>
                <w:sz w:val="20"/>
                <w:szCs w:val="20"/>
              </w:rPr>
              <w:t>181,509,921</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3F953EF5" w14:textId="642C1CF5" w:rsidR="00584187" w:rsidRPr="00493042" w:rsidRDefault="00584187" w:rsidP="00584187">
            <w:pPr>
              <w:keepNext/>
              <w:jc w:val="center"/>
              <w:rPr>
                <w:rFonts w:ascii="Calibri" w:hAnsi="Calibri"/>
                <w:sz w:val="20"/>
                <w:szCs w:val="20"/>
              </w:rPr>
            </w:pPr>
            <w:r w:rsidRPr="00493042">
              <w:rPr>
                <w:rFonts w:ascii="Calibri" w:hAnsi="Calibri"/>
                <w:sz w:val="20"/>
                <w:szCs w:val="20"/>
              </w:rPr>
              <w:t>179,074,786</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5B9D10C6" w14:textId="74DF04FD" w:rsidR="00584187" w:rsidRPr="00493042" w:rsidRDefault="00584187" w:rsidP="00584187">
            <w:pPr>
              <w:keepNext/>
              <w:jc w:val="center"/>
              <w:rPr>
                <w:rFonts w:ascii="Calibri" w:hAnsi="Calibri"/>
                <w:sz w:val="20"/>
                <w:szCs w:val="20"/>
              </w:rPr>
            </w:pPr>
            <w:r w:rsidRPr="00493042">
              <w:rPr>
                <w:rFonts w:ascii="Calibri" w:hAnsi="Calibri"/>
                <w:sz w:val="20"/>
                <w:szCs w:val="20"/>
              </w:rPr>
              <w:t>190,597,934</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3399589E" w14:textId="6EF8C01D" w:rsidR="00584187" w:rsidRPr="00493042" w:rsidRDefault="00584187" w:rsidP="00584187">
            <w:pPr>
              <w:keepNext/>
              <w:jc w:val="center"/>
              <w:rPr>
                <w:rFonts w:ascii="Calibri" w:hAnsi="Calibri"/>
                <w:sz w:val="20"/>
                <w:szCs w:val="20"/>
              </w:rPr>
            </w:pPr>
            <w:r w:rsidRPr="00493042">
              <w:rPr>
                <w:rFonts w:ascii="Calibri" w:eastAsia="Times New Roman" w:hAnsi="Calibri" w:cs="Arial"/>
                <w:sz w:val="20"/>
                <w:szCs w:val="20"/>
              </w:rPr>
              <w:t>225,415,359</w:t>
            </w:r>
          </w:p>
        </w:tc>
        <w:tc>
          <w:tcPr>
            <w:tcW w:w="1303" w:type="dxa"/>
            <w:tcBorders>
              <w:top w:val="single" w:sz="4" w:space="0" w:color="BFBFBF" w:themeColor="background1" w:themeShade="BF"/>
              <w:bottom w:val="single" w:sz="4" w:space="0" w:color="BFBFBF" w:themeColor="background1" w:themeShade="BF"/>
            </w:tcBorders>
            <w:shd w:val="clear" w:color="auto" w:fill="auto"/>
          </w:tcPr>
          <w:p w14:paraId="1CE97354" w14:textId="19AB4FBA" w:rsidR="00584187" w:rsidRPr="00493042" w:rsidRDefault="007711BA" w:rsidP="00584187">
            <w:pPr>
              <w:keepNext/>
              <w:rPr>
                <w:rFonts w:ascii="Calibri" w:eastAsia="Times New Roman" w:hAnsi="Calibri" w:cs="Arial"/>
                <w:sz w:val="20"/>
                <w:szCs w:val="20"/>
              </w:rPr>
            </w:pPr>
            <w:r>
              <w:rPr>
                <w:rFonts w:ascii="Calibri" w:hAnsi="Calibri"/>
                <w:sz w:val="20"/>
                <w:szCs w:val="20"/>
              </w:rPr>
              <w:t>212,474,942</w:t>
            </w:r>
          </w:p>
        </w:tc>
      </w:tr>
    </w:tbl>
    <w:p w14:paraId="0DE0B828" w14:textId="77777777" w:rsidR="002A30E5" w:rsidRPr="00493042" w:rsidRDefault="002A30E5" w:rsidP="002A30E5">
      <w:pPr>
        <w:keepNext/>
        <w:autoSpaceDE w:val="0"/>
        <w:autoSpaceDN w:val="0"/>
        <w:adjustRightInd w:val="0"/>
        <w:rPr>
          <w:bCs/>
          <w:sz w:val="16"/>
          <w:szCs w:val="16"/>
        </w:rPr>
      </w:pPr>
      <w:r w:rsidRPr="00493042">
        <w:rPr>
          <w:bCs/>
          <w:sz w:val="16"/>
          <w:szCs w:val="16"/>
        </w:rPr>
        <w:t>Source: District Office Fiscal Services</w:t>
      </w:r>
    </w:p>
    <w:p w14:paraId="01058F8E" w14:textId="77777777" w:rsidR="002A30E5" w:rsidRPr="00B9364B" w:rsidRDefault="002A30E5" w:rsidP="002A30E5">
      <w:pPr>
        <w:rPr>
          <w:rFonts w:asciiTheme="majorHAnsi" w:eastAsiaTheme="majorEastAsia" w:hAnsiTheme="majorHAnsi" w:cstheme="majorBidi"/>
          <w:b/>
          <w:color w:val="FF0000"/>
          <w:sz w:val="16"/>
          <w:szCs w:val="16"/>
        </w:rPr>
      </w:pPr>
      <w:r w:rsidRPr="00B9364B">
        <w:rPr>
          <w:bCs/>
          <w:color w:val="FF0000"/>
          <w:sz w:val="16"/>
          <w:szCs w:val="16"/>
        </w:rPr>
        <w:br w:type="page"/>
      </w:r>
    </w:p>
    <w:p w14:paraId="4D60F6D4" w14:textId="77777777" w:rsidR="002A30E5" w:rsidRPr="007523B4" w:rsidRDefault="002A30E5" w:rsidP="002A30E5">
      <w:pPr>
        <w:pStyle w:val="Heading2"/>
        <w:spacing w:before="0"/>
        <w:rPr>
          <w:color w:val="auto"/>
        </w:rPr>
      </w:pPr>
      <w:bookmarkStart w:id="139" w:name="_Toc288801624"/>
      <w:bookmarkStart w:id="140" w:name="_Toc341183263"/>
      <w:bookmarkStart w:id="141" w:name="_Toc506217442"/>
      <w:r w:rsidRPr="007523B4">
        <w:rPr>
          <w:color w:val="auto"/>
        </w:rPr>
        <w:lastRenderedPageBreak/>
        <w:t>State Cost of Living Adjustment (COLA) versus Consumer Price Index (CPI) Increases</w:t>
      </w:r>
      <w:bookmarkEnd w:id="139"/>
      <w:bookmarkEnd w:id="140"/>
      <w:bookmarkEnd w:id="141"/>
      <w:r w:rsidRPr="007523B4">
        <w:rPr>
          <w:color w:val="auto"/>
        </w:rPr>
        <w:t xml:space="preserve"> </w:t>
      </w:r>
    </w:p>
    <w:p w14:paraId="1BE9FE5B" w14:textId="77777777" w:rsidR="002A30E5" w:rsidRPr="007523B4" w:rsidRDefault="002A30E5" w:rsidP="002A30E5">
      <w:pPr>
        <w:keepNext/>
        <w:autoSpaceDE w:val="0"/>
        <w:autoSpaceDN w:val="0"/>
        <w:adjustRightInd w:val="0"/>
        <w:rPr>
          <w:sz w:val="16"/>
          <w:szCs w:val="16"/>
        </w:rPr>
      </w:pPr>
    </w:p>
    <w:p w14:paraId="7ACFB81B" w14:textId="00E0F5EA" w:rsidR="002A30E5" w:rsidRPr="007523B4" w:rsidRDefault="00C26254" w:rsidP="002A30E5">
      <w:pPr>
        <w:autoSpaceDE w:val="0"/>
        <w:autoSpaceDN w:val="0"/>
        <w:adjustRightInd w:val="0"/>
      </w:pPr>
      <w:r>
        <w:t>In FY 2012-13</w:t>
      </w:r>
      <w:r w:rsidR="002A30E5" w:rsidRPr="007523B4">
        <w:t>, community colleges did not receive a COLA</w:t>
      </w:r>
      <w:r>
        <w:t>. Starting in FY 2013-14, annual COLA</w:t>
      </w:r>
      <w:r w:rsidR="00820633">
        <w:t xml:space="preserve"> varied</w:t>
      </w:r>
      <w:r w:rsidR="002A30E5" w:rsidRPr="007523B4">
        <w:t xml:space="preserve"> </w:t>
      </w:r>
      <w:r w:rsidR="00820633">
        <w:t>from 0.85% in FY 2014-15 to a high of 1.57% in FY 2013-14. In FY 2016-17, community colleges did not receive a COLA. T</w:t>
      </w:r>
      <w:r w:rsidR="002A30E5" w:rsidRPr="007523B4">
        <w:t>he annual CPI</w:t>
      </w:r>
      <w:r w:rsidR="00820633">
        <w:t xml:space="preserve"> increases varied between 1% and 2.11%.</w:t>
      </w:r>
      <w:r w:rsidR="002A30E5" w:rsidRPr="007523B4">
        <w:t xml:space="preserve"> </w:t>
      </w:r>
    </w:p>
    <w:p w14:paraId="0DD6D5DA" w14:textId="77777777" w:rsidR="002A30E5" w:rsidRPr="007523B4" w:rsidRDefault="002A30E5" w:rsidP="002A30E5">
      <w:pPr>
        <w:autoSpaceDE w:val="0"/>
        <w:autoSpaceDN w:val="0"/>
        <w:adjustRightInd w:val="0"/>
      </w:pPr>
    </w:p>
    <w:p w14:paraId="05D6D15C" w14:textId="77777777" w:rsidR="002A30E5" w:rsidRPr="007523B4" w:rsidRDefault="002A30E5" w:rsidP="002A30E5">
      <w:pPr>
        <w:autoSpaceDE w:val="0"/>
        <w:autoSpaceDN w:val="0"/>
        <w:adjustRightInd w:val="0"/>
        <w:jc w:val="center"/>
        <w:rPr>
          <w:rFonts w:ascii="Calibri" w:hAnsi="Calibri"/>
          <w:b/>
        </w:rPr>
      </w:pPr>
      <w:r w:rsidRPr="007523B4">
        <w:rPr>
          <w:rFonts w:ascii="Calibri" w:hAnsi="Calibri"/>
          <w:b/>
        </w:rPr>
        <w:t>COLA and CPI</w:t>
      </w:r>
    </w:p>
    <w:tbl>
      <w:tblPr>
        <w:tblW w:w="0" w:type="auto"/>
        <w:jc w:val="center"/>
        <w:tblLayout w:type="fixed"/>
        <w:tblLook w:val="04A0" w:firstRow="1" w:lastRow="0" w:firstColumn="1" w:lastColumn="0" w:noHBand="0" w:noVBand="1"/>
      </w:tblPr>
      <w:tblGrid>
        <w:gridCol w:w="2906"/>
        <w:gridCol w:w="1415"/>
        <w:gridCol w:w="1584"/>
        <w:gridCol w:w="1584"/>
        <w:gridCol w:w="1584"/>
        <w:gridCol w:w="1584"/>
      </w:tblGrid>
      <w:tr w:rsidR="00584187" w:rsidRPr="007523B4" w14:paraId="2E27645E" w14:textId="77777777" w:rsidTr="001C42F5">
        <w:trPr>
          <w:trHeight w:val="302"/>
          <w:jc w:val="center"/>
        </w:trPr>
        <w:tc>
          <w:tcPr>
            <w:tcW w:w="2906"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1D2A5CA3" w14:textId="77777777" w:rsidR="00584187" w:rsidRPr="007523B4" w:rsidRDefault="00584187" w:rsidP="00584187">
            <w:pPr>
              <w:rPr>
                <w:rFonts w:ascii="Calibri" w:eastAsia="Times New Roman" w:hAnsi="Calibri" w:cs="Arial"/>
                <w:b/>
                <w:sz w:val="20"/>
                <w:szCs w:val="20"/>
              </w:rPr>
            </w:pPr>
            <w:r w:rsidRPr="007523B4">
              <w:rPr>
                <w:rFonts w:ascii="Calibri" w:eastAsia="Times New Roman" w:hAnsi="Calibri" w:cs="Arial"/>
                <w:b/>
                <w:sz w:val="20"/>
                <w:szCs w:val="20"/>
              </w:rPr>
              <w:t>State Cost of Living Adjustment (COLA) versus Consumer Price Index (CPI) Increases</w:t>
            </w:r>
          </w:p>
        </w:tc>
        <w:tc>
          <w:tcPr>
            <w:tcW w:w="1415"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7D30A51D" w14:textId="2557C52C" w:rsidR="00584187" w:rsidRPr="007523B4" w:rsidRDefault="00584187" w:rsidP="00584187">
            <w:pPr>
              <w:jc w:val="center"/>
              <w:rPr>
                <w:rFonts w:ascii="Calibri" w:eastAsia="Times New Roman" w:hAnsi="Calibri" w:cs="Arial"/>
                <w:b/>
                <w:sz w:val="20"/>
                <w:szCs w:val="20"/>
              </w:rPr>
            </w:pPr>
            <w:r w:rsidRPr="007523B4">
              <w:rPr>
                <w:rFonts w:ascii="Calibri" w:eastAsia="Times New Roman" w:hAnsi="Calibri" w:cs="Arial"/>
                <w:b/>
                <w:sz w:val="20"/>
                <w:szCs w:val="20"/>
              </w:rPr>
              <w:t>FY  2012-13</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4E3B49D0" w14:textId="6BE49B43" w:rsidR="00584187" w:rsidRPr="007523B4" w:rsidRDefault="00584187" w:rsidP="00584187">
            <w:pPr>
              <w:jc w:val="center"/>
              <w:rPr>
                <w:rFonts w:ascii="Calibri" w:eastAsia="Times New Roman" w:hAnsi="Calibri" w:cs="Arial"/>
                <w:b/>
                <w:sz w:val="20"/>
                <w:szCs w:val="20"/>
              </w:rPr>
            </w:pPr>
            <w:r w:rsidRPr="007523B4">
              <w:rPr>
                <w:rFonts w:ascii="Calibri" w:eastAsia="Times New Roman" w:hAnsi="Calibri" w:cs="Arial"/>
                <w:b/>
                <w:sz w:val="20"/>
                <w:szCs w:val="20"/>
              </w:rPr>
              <w:t>FY  2013-14</w:t>
            </w:r>
          </w:p>
        </w:tc>
        <w:tc>
          <w:tcPr>
            <w:tcW w:w="1584" w:type="dxa"/>
            <w:tcBorders>
              <w:top w:val="single" w:sz="4" w:space="0" w:color="BFBFBF" w:themeColor="background1" w:themeShade="BF"/>
              <w:bottom w:val="single" w:sz="4" w:space="0" w:color="auto"/>
            </w:tcBorders>
            <w:shd w:val="clear" w:color="auto" w:fill="D9D9D9" w:themeFill="background1" w:themeFillShade="D9"/>
            <w:vAlign w:val="bottom"/>
          </w:tcPr>
          <w:p w14:paraId="538B8934" w14:textId="00421750" w:rsidR="00584187" w:rsidRPr="007523B4" w:rsidRDefault="00584187" w:rsidP="00584187">
            <w:pPr>
              <w:jc w:val="center"/>
              <w:rPr>
                <w:rFonts w:ascii="Calibri" w:eastAsia="Times New Roman" w:hAnsi="Calibri" w:cs="Arial"/>
                <w:b/>
                <w:sz w:val="20"/>
                <w:szCs w:val="20"/>
              </w:rPr>
            </w:pPr>
            <w:r w:rsidRPr="007523B4">
              <w:rPr>
                <w:rFonts w:ascii="Calibri" w:eastAsia="Times New Roman" w:hAnsi="Calibri" w:cs="Arial"/>
                <w:b/>
                <w:sz w:val="20"/>
                <w:szCs w:val="20"/>
              </w:rPr>
              <w:t>FY  2014-15</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2B1B6529" w14:textId="45381D62" w:rsidR="00584187" w:rsidRPr="007523B4" w:rsidRDefault="00584187" w:rsidP="00584187">
            <w:pPr>
              <w:jc w:val="center"/>
              <w:rPr>
                <w:rFonts w:ascii="Calibri" w:eastAsia="Times New Roman" w:hAnsi="Calibri" w:cs="Arial"/>
                <w:b/>
                <w:sz w:val="20"/>
                <w:szCs w:val="20"/>
              </w:rPr>
            </w:pPr>
            <w:r w:rsidRPr="007523B4">
              <w:rPr>
                <w:rFonts w:ascii="Calibri" w:eastAsia="Times New Roman" w:hAnsi="Calibri" w:cs="Arial"/>
                <w:b/>
                <w:sz w:val="20"/>
                <w:szCs w:val="20"/>
              </w:rPr>
              <w:t>FY  2015-16</w:t>
            </w:r>
          </w:p>
        </w:tc>
        <w:tc>
          <w:tcPr>
            <w:tcW w:w="1584" w:type="dxa"/>
            <w:tcBorders>
              <w:top w:val="single" w:sz="4" w:space="0" w:color="BFBFBF" w:themeColor="background1" w:themeShade="BF"/>
              <w:bottom w:val="single" w:sz="4" w:space="0" w:color="auto"/>
            </w:tcBorders>
            <w:shd w:val="clear" w:color="auto" w:fill="D9D9D9" w:themeFill="background1" w:themeFillShade="D9"/>
            <w:vAlign w:val="bottom"/>
          </w:tcPr>
          <w:p w14:paraId="5504A47E" w14:textId="2ADE3918" w:rsidR="00584187" w:rsidRPr="007523B4" w:rsidRDefault="00584187" w:rsidP="00584187">
            <w:pPr>
              <w:jc w:val="center"/>
              <w:rPr>
                <w:rFonts w:ascii="Calibri" w:eastAsia="Times New Roman" w:hAnsi="Calibri" w:cs="Arial"/>
                <w:b/>
                <w:sz w:val="20"/>
                <w:szCs w:val="20"/>
              </w:rPr>
            </w:pPr>
            <w:r w:rsidRPr="007523B4">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7523B4" w14:paraId="703143FB" w14:textId="77777777" w:rsidTr="001C42F5">
        <w:trPr>
          <w:trHeight w:val="302"/>
          <w:jc w:val="center"/>
        </w:trPr>
        <w:tc>
          <w:tcPr>
            <w:tcW w:w="2906" w:type="dxa"/>
            <w:tcBorders>
              <w:top w:val="single" w:sz="4" w:space="0" w:color="auto"/>
              <w:bottom w:val="single" w:sz="4" w:space="0" w:color="BFBFBF" w:themeColor="background1" w:themeShade="BF"/>
              <w:right w:val="single" w:sz="4" w:space="0" w:color="BFBFBF" w:themeColor="background1" w:themeShade="BF"/>
            </w:tcBorders>
            <w:shd w:val="clear" w:color="auto" w:fill="auto"/>
            <w:noWrap/>
            <w:vAlign w:val="bottom"/>
          </w:tcPr>
          <w:p w14:paraId="384247E2" w14:textId="77777777" w:rsidR="00584187" w:rsidRPr="007523B4" w:rsidRDefault="00584187" w:rsidP="00584187">
            <w:pPr>
              <w:jc w:val="right"/>
              <w:rPr>
                <w:rFonts w:ascii="Calibri" w:eastAsia="Times New Roman" w:hAnsi="Calibri" w:cs="Arial"/>
                <w:sz w:val="20"/>
                <w:szCs w:val="20"/>
              </w:rPr>
            </w:pPr>
            <w:r w:rsidRPr="007523B4">
              <w:rPr>
                <w:rFonts w:ascii="Calibri" w:eastAsia="Times New Roman" w:hAnsi="Calibri" w:cs="Arial"/>
                <w:sz w:val="20"/>
                <w:szCs w:val="20"/>
              </w:rPr>
              <w:t>COLA Increase =</w:t>
            </w:r>
          </w:p>
        </w:tc>
        <w:tc>
          <w:tcPr>
            <w:tcW w:w="1415" w:type="dxa"/>
            <w:tcBorders>
              <w:top w:val="single" w:sz="4" w:space="0" w:color="auto"/>
              <w:left w:val="single" w:sz="4" w:space="0" w:color="BFBFBF" w:themeColor="background1" w:themeShade="BF"/>
              <w:bottom w:val="single" w:sz="4" w:space="0" w:color="BFBFBF" w:themeColor="background1" w:themeShade="BF"/>
            </w:tcBorders>
            <w:shd w:val="clear" w:color="auto" w:fill="auto"/>
            <w:noWrap/>
          </w:tcPr>
          <w:p w14:paraId="61CC8BDB" w14:textId="74F72BAD" w:rsidR="00584187" w:rsidRPr="007523B4" w:rsidRDefault="00584187" w:rsidP="00584187">
            <w:pPr>
              <w:jc w:val="center"/>
              <w:rPr>
                <w:rFonts w:ascii="Calibri" w:eastAsia="Times New Roman" w:hAnsi="Calibri" w:cs="Arial"/>
                <w:sz w:val="20"/>
                <w:szCs w:val="20"/>
              </w:rPr>
            </w:pPr>
            <w:r w:rsidRPr="007523B4">
              <w:rPr>
                <w:rFonts w:ascii="Calibri" w:hAnsi="Calibri"/>
                <w:sz w:val="20"/>
                <w:szCs w:val="20"/>
              </w:rPr>
              <w:t>0.00</w:t>
            </w:r>
          </w:p>
        </w:tc>
        <w:tc>
          <w:tcPr>
            <w:tcW w:w="1584" w:type="dxa"/>
            <w:tcBorders>
              <w:top w:val="single" w:sz="4" w:space="0" w:color="auto"/>
              <w:bottom w:val="single" w:sz="4" w:space="0" w:color="BFBFBF" w:themeColor="background1" w:themeShade="BF"/>
            </w:tcBorders>
            <w:shd w:val="clear" w:color="auto" w:fill="auto"/>
            <w:noWrap/>
          </w:tcPr>
          <w:p w14:paraId="7F1E39D4" w14:textId="26391493" w:rsidR="00584187" w:rsidRPr="007523B4" w:rsidRDefault="00584187" w:rsidP="00584187">
            <w:pPr>
              <w:jc w:val="center"/>
              <w:rPr>
                <w:rFonts w:ascii="Calibri" w:eastAsia="Times New Roman" w:hAnsi="Calibri" w:cs="Arial"/>
                <w:sz w:val="20"/>
                <w:szCs w:val="20"/>
              </w:rPr>
            </w:pPr>
            <w:r w:rsidRPr="007523B4">
              <w:rPr>
                <w:rFonts w:ascii="Calibri" w:hAnsi="Calibri"/>
                <w:sz w:val="20"/>
                <w:szCs w:val="20"/>
              </w:rPr>
              <w:t>1.57</w:t>
            </w:r>
          </w:p>
        </w:tc>
        <w:tc>
          <w:tcPr>
            <w:tcW w:w="1584" w:type="dxa"/>
            <w:tcBorders>
              <w:top w:val="single" w:sz="4" w:space="0" w:color="auto"/>
              <w:bottom w:val="single" w:sz="4" w:space="0" w:color="BFBFBF" w:themeColor="background1" w:themeShade="BF"/>
            </w:tcBorders>
            <w:shd w:val="clear" w:color="auto" w:fill="auto"/>
          </w:tcPr>
          <w:p w14:paraId="459D8216" w14:textId="32A35C66" w:rsidR="00584187" w:rsidRPr="007523B4" w:rsidRDefault="00584187" w:rsidP="00584187">
            <w:pPr>
              <w:jc w:val="center"/>
              <w:rPr>
                <w:rFonts w:ascii="Calibri" w:eastAsia="Times New Roman" w:hAnsi="Calibri" w:cs="Arial"/>
                <w:sz w:val="20"/>
                <w:szCs w:val="20"/>
              </w:rPr>
            </w:pPr>
            <w:r w:rsidRPr="007523B4">
              <w:rPr>
                <w:rFonts w:ascii="Calibri" w:eastAsia="Times New Roman" w:hAnsi="Calibri" w:cs="Arial"/>
                <w:sz w:val="20"/>
                <w:szCs w:val="20"/>
              </w:rPr>
              <w:t>0.85</w:t>
            </w:r>
          </w:p>
        </w:tc>
        <w:tc>
          <w:tcPr>
            <w:tcW w:w="1584" w:type="dxa"/>
            <w:tcBorders>
              <w:top w:val="single" w:sz="4" w:space="0" w:color="auto"/>
              <w:bottom w:val="single" w:sz="4" w:space="0" w:color="BFBFBF" w:themeColor="background1" w:themeShade="BF"/>
            </w:tcBorders>
            <w:shd w:val="clear" w:color="auto" w:fill="auto"/>
            <w:noWrap/>
          </w:tcPr>
          <w:p w14:paraId="46945A70" w14:textId="23C7EBAD" w:rsidR="00584187" w:rsidRPr="007523B4" w:rsidRDefault="00584187" w:rsidP="00584187">
            <w:pPr>
              <w:jc w:val="center"/>
              <w:rPr>
                <w:rFonts w:ascii="Calibri" w:eastAsia="Times New Roman" w:hAnsi="Calibri" w:cs="Arial"/>
                <w:sz w:val="20"/>
                <w:szCs w:val="20"/>
              </w:rPr>
            </w:pPr>
            <w:r w:rsidRPr="007523B4">
              <w:rPr>
                <w:rFonts w:ascii="Calibri" w:eastAsia="Times New Roman" w:hAnsi="Calibri" w:cs="Arial"/>
                <w:sz w:val="20"/>
                <w:szCs w:val="20"/>
              </w:rPr>
              <w:t>1.02</w:t>
            </w:r>
          </w:p>
        </w:tc>
        <w:tc>
          <w:tcPr>
            <w:tcW w:w="1584" w:type="dxa"/>
            <w:tcBorders>
              <w:top w:val="single" w:sz="4" w:space="0" w:color="auto"/>
              <w:bottom w:val="single" w:sz="4" w:space="0" w:color="BFBFBF" w:themeColor="background1" w:themeShade="BF"/>
            </w:tcBorders>
            <w:shd w:val="clear" w:color="auto" w:fill="auto"/>
          </w:tcPr>
          <w:p w14:paraId="445E495D" w14:textId="032CF47C" w:rsidR="00584187" w:rsidRPr="007523B4" w:rsidRDefault="00820633" w:rsidP="00584187">
            <w:pPr>
              <w:jc w:val="center"/>
              <w:rPr>
                <w:rFonts w:ascii="Calibri" w:eastAsia="Times New Roman" w:hAnsi="Calibri" w:cs="Arial"/>
                <w:sz w:val="20"/>
                <w:szCs w:val="20"/>
              </w:rPr>
            </w:pPr>
            <w:r>
              <w:rPr>
                <w:rFonts w:ascii="Calibri" w:eastAsia="Times New Roman" w:hAnsi="Calibri" w:cs="Arial"/>
                <w:sz w:val="20"/>
                <w:szCs w:val="20"/>
              </w:rPr>
              <w:t>0.00</w:t>
            </w:r>
          </w:p>
        </w:tc>
      </w:tr>
      <w:tr w:rsidR="00584187" w:rsidRPr="007523B4" w14:paraId="1925B5DC" w14:textId="77777777" w:rsidTr="001C42F5">
        <w:trPr>
          <w:trHeight w:val="302"/>
          <w:jc w:val="center"/>
        </w:trPr>
        <w:tc>
          <w:tcPr>
            <w:tcW w:w="290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D09F42A" w14:textId="77777777" w:rsidR="00584187" w:rsidRPr="007523B4" w:rsidRDefault="00584187" w:rsidP="00584187">
            <w:pPr>
              <w:jc w:val="right"/>
              <w:rPr>
                <w:rFonts w:ascii="Calibri" w:eastAsia="Times New Roman" w:hAnsi="Calibri" w:cs="Arial"/>
                <w:sz w:val="20"/>
                <w:szCs w:val="20"/>
              </w:rPr>
            </w:pPr>
            <w:r w:rsidRPr="007523B4">
              <w:rPr>
                <w:rFonts w:ascii="Calibri" w:eastAsia="Times New Roman" w:hAnsi="Calibri" w:cs="Arial"/>
                <w:sz w:val="20"/>
                <w:szCs w:val="20"/>
              </w:rPr>
              <w:t>CPI Increase =</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71E8AC06" w14:textId="3985E2C1" w:rsidR="00584187" w:rsidRPr="007523B4" w:rsidRDefault="00584187" w:rsidP="00584187">
            <w:pPr>
              <w:jc w:val="center"/>
              <w:rPr>
                <w:rFonts w:ascii="Calibri" w:eastAsia="Times New Roman" w:hAnsi="Calibri" w:cs="Arial"/>
                <w:sz w:val="20"/>
                <w:szCs w:val="20"/>
              </w:rPr>
            </w:pPr>
            <w:r w:rsidRPr="007523B4">
              <w:rPr>
                <w:rFonts w:ascii="Calibri" w:hAnsi="Calibri"/>
                <w:sz w:val="20"/>
                <w:szCs w:val="20"/>
              </w:rPr>
              <w:t>1.80</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061C47F0" w14:textId="4E211377" w:rsidR="00584187" w:rsidRPr="007523B4" w:rsidRDefault="00584187" w:rsidP="00584187">
            <w:pPr>
              <w:jc w:val="center"/>
              <w:rPr>
                <w:rFonts w:ascii="Calibri" w:eastAsia="Times New Roman" w:hAnsi="Calibri" w:cs="Arial"/>
                <w:sz w:val="20"/>
                <w:szCs w:val="20"/>
              </w:rPr>
            </w:pPr>
            <w:r w:rsidRPr="007523B4">
              <w:rPr>
                <w:rFonts w:ascii="Calibri" w:hAnsi="Calibri"/>
                <w:sz w:val="20"/>
                <w:szCs w:val="20"/>
              </w:rPr>
              <w:t>2.10</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06006914" w14:textId="741F7758" w:rsidR="00584187" w:rsidRPr="007523B4" w:rsidRDefault="00584187" w:rsidP="00584187">
            <w:pPr>
              <w:jc w:val="center"/>
              <w:rPr>
                <w:rFonts w:ascii="Calibri" w:eastAsia="Times New Roman" w:hAnsi="Calibri" w:cs="Arial"/>
                <w:sz w:val="20"/>
                <w:szCs w:val="20"/>
              </w:rPr>
            </w:pPr>
            <w:r w:rsidRPr="007523B4">
              <w:rPr>
                <w:rFonts w:ascii="Calibri" w:eastAsia="Times New Roman" w:hAnsi="Calibri" w:cs="Arial"/>
                <w:sz w:val="20"/>
                <w:szCs w:val="20"/>
              </w:rPr>
              <w:t>2.11</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58CBE228" w14:textId="2EDEE181" w:rsidR="00584187" w:rsidRPr="007523B4" w:rsidRDefault="00DC50AF" w:rsidP="00584187">
            <w:pPr>
              <w:jc w:val="center"/>
              <w:rPr>
                <w:rFonts w:ascii="Calibri" w:eastAsia="Times New Roman" w:hAnsi="Calibri" w:cs="Arial"/>
                <w:sz w:val="20"/>
                <w:szCs w:val="20"/>
              </w:rPr>
            </w:pPr>
            <w:r>
              <w:rPr>
                <w:rFonts w:ascii="Calibri" w:eastAsia="Times New Roman" w:hAnsi="Calibri" w:cs="Arial"/>
                <w:sz w:val="20"/>
                <w:szCs w:val="20"/>
              </w:rPr>
              <w:t>1.0</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20AFF3B9" w14:textId="19E26909" w:rsidR="00E913DE" w:rsidRPr="007523B4" w:rsidRDefault="00DC50AF" w:rsidP="00E913DE">
            <w:pPr>
              <w:jc w:val="center"/>
              <w:rPr>
                <w:rFonts w:ascii="Calibri" w:eastAsia="Times New Roman" w:hAnsi="Calibri" w:cs="Arial"/>
                <w:sz w:val="20"/>
                <w:szCs w:val="20"/>
              </w:rPr>
            </w:pPr>
            <w:r>
              <w:rPr>
                <w:rFonts w:ascii="Calibri" w:eastAsia="Times New Roman" w:hAnsi="Calibri" w:cs="Arial"/>
                <w:sz w:val="20"/>
                <w:szCs w:val="20"/>
              </w:rPr>
              <w:t>1.6</w:t>
            </w:r>
          </w:p>
        </w:tc>
      </w:tr>
    </w:tbl>
    <w:p w14:paraId="56BE6E7F" w14:textId="77777777" w:rsidR="002A30E5" w:rsidRPr="007523B4" w:rsidRDefault="002A30E5" w:rsidP="002A30E5">
      <w:pPr>
        <w:autoSpaceDE w:val="0"/>
        <w:autoSpaceDN w:val="0"/>
        <w:adjustRightInd w:val="0"/>
        <w:rPr>
          <w:bCs/>
          <w:sz w:val="16"/>
          <w:szCs w:val="16"/>
        </w:rPr>
      </w:pPr>
      <w:r w:rsidRPr="007523B4">
        <w:rPr>
          <w:bCs/>
          <w:sz w:val="16"/>
          <w:szCs w:val="16"/>
        </w:rPr>
        <w:t>Source: District Office Fiscal Services</w:t>
      </w:r>
    </w:p>
    <w:p w14:paraId="62A1D31B" w14:textId="77777777" w:rsidR="002A30E5" w:rsidRPr="00B9364B" w:rsidRDefault="002A30E5" w:rsidP="002A30E5">
      <w:pPr>
        <w:rPr>
          <w:bCs/>
          <w:color w:val="FF0000"/>
          <w:sz w:val="20"/>
          <w:szCs w:val="20"/>
        </w:rPr>
      </w:pPr>
    </w:p>
    <w:p w14:paraId="752C8BE5" w14:textId="77777777" w:rsidR="002A30E5" w:rsidRPr="00B9364B" w:rsidRDefault="002A30E5" w:rsidP="002A30E5">
      <w:pPr>
        <w:pStyle w:val="Heading2"/>
        <w:spacing w:before="0"/>
        <w:rPr>
          <w:color w:val="FF0000"/>
        </w:rPr>
      </w:pPr>
      <w:bookmarkStart w:id="142" w:name="_Toc288801625"/>
      <w:bookmarkStart w:id="143" w:name="_Toc341183264"/>
    </w:p>
    <w:p w14:paraId="48FFCF45" w14:textId="77777777" w:rsidR="002A30E5" w:rsidRPr="006F620A" w:rsidRDefault="002A30E5" w:rsidP="002A30E5">
      <w:pPr>
        <w:pStyle w:val="Heading2"/>
        <w:spacing w:before="0"/>
        <w:rPr>
          <w:color w:val="auto"/>
        </w:rPr>
      </w:pPr>
      <w:bookmarkStart w:id="144" w:name="_Toc506217443"/>
      <w:r w:rsidRPr="006F620A">
        <w:rPr>
          <w:color w:val="auto"/>
        </w:rPr>
        <w:t>Capital Outlay Expenditures</w:t>
      </w:r>
      <w:bookmarkEnd w:id="142"/>
      <w:bookmarkEnd w:id="143"/>
      <w:bookmarkEnd w:id="144"/>
      <w:r w:rsidRPr="006F620A">
        <w:rPr>
          <w:color w:val="auto"/>
        </w:rPr>
        <w:t xml:space="preserve"> </w:t>
      </w:r>
    </w:p>
    <w:p w14:paraId="18BF664E" w14:textId="77777777" w:rsidR="002A30E5" w:rsidRPr="006F620A" w:rsidRDefault="002A30E5" w:rsidP="002A30E5">
      <w:pPr>
        <w:autoSpaceDE w:val="0"/>
        <w:autoSpaceDN w:val="0"/>
        <w:adjustRightInd w:val="0"/>
        <w:rPr>
          <w:sz w:val="16"/>
          <w:szCs w:val="16"/>
        </w:rPr>
      </w:pPr>
    </w:p>
    <w:p w14:paraId="01C488D2" w14:textId="77777777" w:rsidR="002A30E5" w:rsidRPr="006F620A" w:rsidRDefault="002A30E5" w:rsidP="002A30E5">
      <w:pPr>
        <w:autoSpaceDE w:val="0"/>
        <w:autoSpaceDN w:val="0"/>
        <w:adjustRightInd w:val="0"/>
      </w:pPr>
      <w:r w:rsidRPr="006F620A">
        <w:t xml:space="preserve">Capital expenditures are for items that are not consumed or used up like a supply, but rather have a useful life that lasts for more than two years. Capital outlay includes equipment, land, buildings, ground improvements, and building construction, remodeling or additions. These expenditures do not include expenditures paid for with Measure M funds. </w:t>
      </w:r>
    </w:p>
    <w:p w14:paraId="6BC18287" w14:textId="77777777" w:rsidR="002A30E5" w:rsidRPr="006F620A" w:rsidRDefault="002A30E5" w:rsidP="002A30E5">
      <w:pPr>
        <w:autoSpaceDE w:val="0"/>
        <w:autoSpaceDN w:val="0"/>
        <w:adjustRightInd w:val="0"/>
      </w:pPr>
    </w:p>
    <w:p w14:paraId="79B9759E" w14:textId="42653BC1" w:rsidR="002A30E5" w:rsidRPr="006F620A" w:rsidRDefault="002A30E5" w:rsidP="002A30E5">
      <w:pPr>
        <w:autoSpaceDE w:val="0"/>
        <w:autoSpaceDN w:val="0"/>
        <w:adjustRightInd w:val="0"/>
      </w:pPr>
      <w:r w:rsidRPr="006F620A">
        <w:t xml:space="preserve">The capital outlay expenditures as a percentage of total revenues fluctuated between </w:t>
      </w:r>
      <w:r w:rsidR="00F072DF">
        <w:t>1.04</w:t>
      </w:r>
      <w:r w:rsidRPr="006F620A">
        <w:t xml:space="preserve">% and </w:t>
      </w:r>
      <w:r w:rsidR="00F072DF">
        <w:t>2.78</w:t>
      </w:r>
      <w:r w:rsidRPr="006F620A">
        <w:t>% over the past five years. In FY 201</w:t>
      </w:r>
      <w:r w:rsidR="00F072DF">
        <w:t>6</w:t>
      </w:r>
      <w:r w:rsidRPr="006F620A">
        <w:t>-1</w:t>
      </w:r>
      <w:r w:rsidR="00F072DF">
        <w:t>7</w:t>
      </w:r>
      <w:r w:rsidRPr="006F620A">
        <w:t xml:space="preserve">, the rate was </w:t>
      </w:r>
      <w:r w:rsidR="00F072DF">
        <w:t>2.78</w:t>
      </w:r>
      <w:r w:rsidRPr="006F620A">
        <w:t>%.</w:t>
      </w:r>
    </w:p>
    <w:p w14:paraId="5AE239FD" w14:textId="77777777" w:rsidR="002A30E5" w:rsidRPr="00B9364B" w:rsidRDefault="002A30E5" w:rsidP="002A30E5">
      <w:pPr>
        <w:autoSpaceDE w:val="0"/>
        <w:autoSpaceDN w:val="0"/>
        <w:adjustRightInd w:val="0"/>
        <w:rPr>
          <w:bCs/>
          <w:color w:val="FF0000"/>
        </w:rPr>
      </w:pPr>
    </w:p>
    <w:p w14:paraId="33D78809" w14:textId="77777777" w:rsidR="002A30E5" w:rsidRPr="006F620A" w:rsidRDefault="002A30E5" w:rsidP="002A30E5">
      <w:pPr>
        <w:autoSpaceDE w:val="0"/>
        <w:autoSpaceDN w:val="0"/>
        <w:adjustRightInd w:val="0"/>
        <w:jc w:val="center"/>
        <w:rPr>
          <w:rFonts w:ascii="Calibri" w:eastAsia="Franklin Gothic Book" w:hAnsi="Calibri" w:cs="Times New Roman"/>
          <w:b/>
          <w:bCs/>
        </w:rPr>
      </w:pPr>
      <w:r w:rsidRPr="006F620A">
        <w:rPr>
          <w:rFonts w:ascii="Calibri" w:eastAsia="Franklin Gothic Book" w:hAnsi="Calibri" w:cs="Times New Roman"/>
          <w:b/>
          <w:bCs/>
        </w:rPr>
        <w:t xml:space="preserve">Capital Outlay Expenditures as a Percentage Total Revenues (Restricted and Unrestricted Funds) </w:t>
      </w:r>
    </w:p>
    <w:tbl>
      <w:tblPr>
        <w:tblW w:w="0" w:type="auto"/>
        <w:jc w:val="center"/>
        <w:tblLayout w:type="fixed"/>
        <w:tblLook w:val="04A0" w:firstRow="1" w:lastRow="0" w:firstColumn="1" w:lastColumn="0" w:noHBand="0" w:noVBand="1"/>
      </w:tblPr>
      <w:tblGrid>
        <w:gridCol w:w="3330"/>
        <w:gridCol w:w="1415"/>
        <w:gridCol w:w="1584"/>
        <w:gridCol w:w="1584"/>
        <w:gridCol w:w="1584"/>
        <w:gridCol w:w="1584"/>
      </w:tblGrid>
      <w:tr w:rsidR="00584187" w:rsidRPr="006F620A" w14:paraId="0FFEF8D7" w14:textId="77777777" w:rsidTr="001C42F5">
        <w:trPr>
          <w:trHeight w:val="302"/>
          <w:jc w:val="center"/>
        </w:trPr>
        <w:tc>
          <w:tcPr>
            <w:tcW w:w="3330"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6E8A9509" w14:textId="77777777" w:rsidR="00584187" w:rsidRPr="006F620A" w:rsidRDefault="00584187" w:rsidP="00584187">
            <w:pPr>
              <w:rPr>
                <w:rFonts w:ascii="Calibri" w:eastAsia="Times New Roman" w:hAnsi="Calibri" w:cs="Arial"/>
                <w:b/>
                <w:sz w:val="20"/>
                <w:szCs w:val="20"/>
              </w:rPr>
            </w:pPr>
            <w:r w:rsidRPr="006F620A">
              <w:rPr>
                <w:rFonts w:ascii="Calibri" w:eastAsia="Times New Roman" w:hAnsi="Calibri" w:cs="Arial"/>
                <w:b/>
                <w:sz w:val="20"/>
                <w:szCs w:val="20"/>
              </w:rPr>
              <w:t>Capital Outlay Expenditures</w:t>
            </w:r>
          </w:p>
        </w:tc>
        <w:tc>
          <w:tcPr>
            <w:tcW w:w="1415"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55847D51" w14:textId="0F2E4F56" w:rsidR="00584187" w:rsidRPr="006F620A" w:rsidRDefault="00584187" w:rsidP="00584187">
            <w:pPr>
              <w:jc w:val="center"/>
              <w:rPr>
                <w:rFonts w:ascii="Calibri" w:eastAsia="Times New Roman" w:hAnsi="Calibri" w:cs="Arial"/>
                <w:b/>
                <w:sz w:val="20"/>
                <w:szCs w:val="20"/>
              </w:rPr>
            </w:pPr>
            <w:r w:rsidRPr="006F620A">
              <w:rPr>
                <w:rFonts w:ascii="Calibri" w:eastAsia="Times New Roman" w:hAnsi="Calibri" w:cs="Arial"/>
                <w:b/>
                <w:sz w:val="20"/>
                <w:szCs w:val="20"/>
              </w:rPr>
              <w:t>FY  2012-13</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56C880CA" w14:textId="4D837CB6" w:rsidR="00584187" w:rsidRPr="006F620A" w:rsidRDefault="00584187" w:rsidP="00584187">
            <w:pPr>
              <w:jc w:val="center"/>
              <w:rPr>
                <w:rFonts w:ascii="Calibri" w:eastAsia="Times New Roman" w:hAnsi="Calibri" w:cs="Arial"/>
                <w:b/>
                <w:sz w:val="20"/>
                <w:szCs w:val="20"/>
              </w:rPr>
            </w:pPr>
            <w:r w:rsidRPr="006F620A">
              <w:rPr>
                <w:rFonts w:ascii="Calibri" w:eastAsia="Times New Roman" w:hAnsi="Calibri" w:cs="Arial"/>
                <w:b/>
                <w:sz w:val="20"/>
                <w:szCs w:val="20"/>
              </w:rPr>
              <w:t>FY  2013-14</w:t>
            </w:r>
          </w:p>
        </w:tc>
        <w:tc>
          <w:tcPr>
            <w:tcW w:w="1584" w:type="dxa"/>
            <w:tcBorders>
              <w:top w:val="single" w:sz="4" w:space="0" w:color="BFBFBF" w:themeColor="background1" w:themeShade="BF"/>
              <w:bottom w:val="single" w:sz="4" w:space="0" w:color="auto"/>
            </w:tcBorders>
            <w:shd w:val="clear" w:color="auto" w:fill="D9D9D9" w:themeFill="background1" w:themeFillShade="D9"/>
            <w:vAlign w:val="bottom"/>
          </w:tcPr>
          <w:p w14:paraId="6501A297" w14:textId="62325023" w:rsidR="00584187" w:rsidRPr="006F620A" w:rsidRDefault="00584187" w:rsidP="00584187">
            <w:pPr>
              <w:jc w:val="center"/>
              <w:rPr>
                <w:rFonts w:ascii="Calibri" w:eastAsia="Times New Roman" w:hAnsi="Calibri" w:cs="Arial"/>
                <w:b/>
                <w:sz w:val="20"/>
                <w:szCs w:val="20"/>
              </w:rPr>
            </w:pPr>
            <w:r w:rsidRPr="006F620A">
              <w:rPr>
                <w:rFonts w:ascii="Calibri" w:eastAsia="Times New Roman" w:hAnsi="Calibri" w:cs="Arial"/>
                <w:b/>
                <w:sz w:val="20"/>
                <w:szCs w:val="20"/>
              </w:rPr>
              <w:t>FY  2014-15</w:t>
            </w:r>
          </w:p>
        </w:tc>
        <w:tc>
          <w:tcPr>
            <w:tcW w:w="1584" w:type="dxa"/>
            <w:tcBorders>
              <w:top w:val="single" w:sz="4" w:space="0" w:color="BFBFBF" w:themeColor="background1" w:themeShade="BF"/>
              <w:bottom w:val="single" w:sz="4" w:space="0" w:color="auto"/>
            </w:tcBorders>
            <w:shd w:val="clear" w:color="auto" w:fill="D9D9D9" w:themeFill="background1" w:themeFillShade="D9"/>
            <w:noWrap/>
            <w:vAlign w:val="bottom"/>
          </w:tcPr>
          <w:p w14:paraId="0AC77990" w14:textId="1159844B" w:rsidR="00584187" w:rsidRPr="006F620A" w:rsidRDefault="00584187" w:rsidP="00584187">
            <w:pPr>
              <w:jc w:val="center"/>
              <w:rPr>
                <w:rFonts w:ascii="Calibri" w:eastAsia="Times New Roman" w:hAnsi="Calibri" w:cs="Arial"/>
                <w:b/>
                <w:sz w:val="20"/>
                <w:szCs w:val="20"/>
              </w:rPr>
            </w:pPr>
            <w:r w:rsidRPr="006F620A">
              <w:rPr>
                <w:rFonts w:ascii="Calibri" w:eastAsia="Times New Roman" w:hAnsi="Calibri" w:cs="Arial"/>
                <w:b/>
                <w:sz w:val="20"/>
                <w:szCs w:val="20"/>
              </w:rPr>
              <w:t>FY  2015-16</w:t>
            </w:r>
          </w:p>
        </w:tc>
        <w:tc>
          <w:tcPr>
            <w:tcW w:w="1584" w:type="dxa"/>
            <w:tcBorders>
              <w:top w:val="single" w:sz="4" w:space="0" w:color="BFBFBF" w:themeColor="background1" w:themeShade="BF"/>
              <w:bottom w:val="single" w:sz="4" w:space="0" w:color="auto"/>
            </w:tcBorders>
            <w:shd w:val="clear" w:color="auto" w:fill="D9D9D9" w:themeFill="background1" w:themeFillShade="D9"/>
            <w:vAlign w:val="bottom"/>
          </w:tcPr>
          <w:p w14:paraId="218F42B6" w14:textId="5A89C202" w:rsidR="00584187" w:rsidRPr="006F620A" w:rsidRDefault="00584187" w:rsidP="00584187">
            <w:pPr>
              <w:jc w:val="center"/>
              <w:rPr>
                <w:rFonts w:ascii="Calibri" w:eastAsia="Times New Roman" w:hAnsi="Calibri" w:cs="Arial"/>
                <w:b/>
                <w:sz w:val="20"/>
                <w:szCs w:val="20"/>
              </w:rPr>
            </w:pPr>
            <w:r w:rsidRPr="006F620A">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6F620A" w14:paraId="07E7F9E7" w14:textId="77777777" w:rsidTr="001C42F5">
        <w:trPr>
          <w:trHeight w:val="302"/>
          <w:jc w:val="center"/>
        </w:trPr>
        <w:tc>
          <w:tcPr>
            <w:tcW w:w="3330" w:type="dxa"/>
            <w:tcBorders>
              <w:top w:val="single" w:sz="4" w:space="0" w:color="auto"/>
              <w:left w:val="single" w:sz="4" w:space="0" w:color="D9D9D9" w:themeColor="background1" w:themeShade="D9"/>
              <w:right w:val="single" w:sz="4" w:space="0" w:color="BFBFBF" w:themeColor="background1" w:themeShade="BF"/>
            </w:tcBorders>
            <w:shd w:val="clear" w:color="auto" w:fill="FBD4B4" w:themeFill="accent6" w:themeFillTint="66"/>
            <w:noWrap/>
            <w:vAlign w:val="center"/>
          </w:tcPr>
          <w:p w14:paraId="439D16D6" w14:textId="77777777" w:rsidR="00584187" w:rsidRPr="006F620A" w:rsidRDefault="00584187" w:rsidP="00584187">
            <w:pPr>
              <w:rPr>
                <w:rFonts w:ascii="Calibri" w:eastAsia="Times New Roman" w:hAnsi="Calibri" w:cs="Arial"/>
                <w:sz w:val="20"/>
                <w:szCs w:val="20"/>
              </w:rPr>
            </w:pPr>
            <w:r w:rsidRPr="006F620A">
              <w:rPr>
                <w:rFonts w:ascii="Calibri" w:eastAsia="Times New Roman" w:hAnsi="Calibri" w:cs="Arial"/>
                <w:sz w:val="20"/>
                <w:szCs w:val="20"/>
              </w:rPr>
              <w:t>Orange  Coast</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7C81FB90" w14:textId="31CA23CB"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843,632</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219CABC4" w14:textId="570D5382"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765,958</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127639C6" w14:textId="5FDBA1D4"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968,080</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5C9323EA" w14:textId="24085C81"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1,568,075</w:t>
            </w:r>
          </w:p>
        </w:tc>
        <w:tc>
          <w:tcPr>
            <w:tcW w:w="1584" w:type="dxa"/>
            <w:tcBorders>
              <w:top w:val="single" w:sz="4" w:space="0" w:color="auto"/>
              <w:bottom w:val="single" w:sz="4" w:space="0" w:color="BFBFBF" w:themeColor="background1" w:themeShade="BF"/>
              <w:right w:val="single" w:sz="4" w:space="0" w:color="D9D9D9" w:themeColor="background1" w:themeShade="D9"/>
            </w:tcBorders>
            <w:shd w:val="clear" w:color="auto" w:fill="FBD4B4" w:themeFill="accent6" w:themeFillTint="66"/>
          </w:tcPr>
          <w:p w14:paraId="13D5B0B0" w14:textId="1D711808"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 xml:space="preserve">2,480,243   </w:t>
            </w:r>
          </w:p>
        </w:tc>
      </w:tr>
      <w:tr w:rsidR="00584187" w:rsidRPr="006F620A" w14:paraId="0B3F61DF" w14:textId="77777777" w:rsidTr="001C42F5">
        <w:trPr>
          <w:trHeight w:val="302"/>
          <w:jc w:val="center"/>
        </w:trPr>
        <w:tc>
          <w:tcPr>
            <w:tcW w:w="3330" w:type="dxa"/>
            <w:tcBorders>
              <w:left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FBD4B4" w:themeFill="accent6" w:themeFillTint="66"/>
            <w:noWrap/>
            <w:vAlign w:val="center"/>
          </w:tcPr>
          <w:p w14:paraId="696ABB9A" w14:textId="77777777" w:rsidR="00584187" w:rsidRPr="006F620A" w:rsidRDefault="00584187" w:rsidP="00584187">
            <w:pPr>
              <w:jc w:val="right"/>
              <w:rPr>
                <w:rFonts w:ascii="Calibri" w:eastAsia="Times New Roman" w:hAnsi="Calibri" w:cs="Arial"/>
                <w:sz w:val="20"/>
                <w:szCs w:val="20"/>
              </w:rPr>
            </w:pPr>
            <w:r w:rsidRPr="006F620A">
              <w:rPr>
                <w:rFonts w:ascii="Calibri" w:eastAsia="Times New Roman" w:hAnsi="Calibri" w:cs="Arial"/>
                <w:sz w:val="20"/>
                <w:szCs w:val="20"/>
              </w:rPr>
              <w:t>% of Total GF Revenues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BD4B4" w:themeFill="accent6" w:themeFillTint="66"/>
            <w:noWrap/>
          </w:tcPr>
          <w:p w14:paraId="3EABF4FD" w14:textId="56D280F1"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0.40%</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65E252EB" w14:textId="558C7B08"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0.36%</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tcPr>
          <w:p w14:paraId="3693E660" w14:textId="2E608674"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0.45%</w:t>
            </w:r>
          </w:p>
        </w:tc>
        <w:tc>
          <w:tcPr>
            <w:tcW w:w="1584" w:type="dxa"/>
            <w:tcBorders>
              <w:top w:val="single" w:sz="4" w:space="0" w:color="BFBFBF" w:themeColor="background1" w:themeShade="BF"/>
              <w:bottom w:val="single" w:sz="4" w:space="0" w:color="BFBFBF" w:themeColor="background1" w:themeShade="BF"/>
            </w:tcBorders>
            <w:shd w:val="clear" w:color="auto" w:fill="FBD4B4" w:themeFill="accent6" w:themeFillTint="66"/>
            <w:noWrap/>
          </w:tcPr>
          <w:p w14:paraId="62F9C505" w14:textId="1709267B"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0.61%</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BD4B4" w:themeFill="accent6" w:themeFillTint="66"/>
          </w:tcPr>
          <w:p w14:paraId="230829FC" w14:textId="4D24A75C"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0.99%</w:t>
            </w:r>
          </w:p>
        </w:tc>
      </w:tr>
      <w:tr w:rsidR="00584187" w:rsidRPr="006F620A" w14:paraId="2B4F43FA" w14:textId="77777777" w:rsidTr="001C42F5">
        <w:trPr>
          <w:trHeight w:val="302"/>
          <w:jc w:val="center"/>
        </w:trPr>
        <w:tc>
          <w:tcPr>
            <w:tcW w:w="3330" w:type="dxa"/>
            <w:tcBorders>
              <w:top w:val="single" w:sz="4" w:space="0" w:color="BFBFBF" w:themeColor="background1" w:themeShade="BF"/>
              <w:left w:val="single" w:sz="4" w:space="0" w:color="D9D9D9" w:themeColor="background1" w:themeShade="D9"/>
              <w:right w:val="single" w:sz="4" w:space="0" w:color="BFBFBF" w:themeColor="background1" w:themeShade="BF"/>
            </w:tcBorders>
            <w:shd w:val="clear" w:color="auto" w:fill="D6E3BC" w:themeFill="accent3" w:themeFillTint="66"/>
            <w:noWrap/>
            <w:vAlign w:val="center"/>
          </w:tcPr>
          <w:p w14:paraId="199A59C4" w14:textId="77777777" w:rsidR="00584187" w:rsidRPr="006F620A" w:rsidRDefault="00584187" w:rsidP="00584187">
            <w:pPr>
              <w:rPr>
                <w:rFonts w:ascii="Calibri" w:eastAsia="Times New Roman" w:hAnsi="Calibri" w:cs="Arial"/>
                <w:sz w:val="20"/>
                <w:szCs w:val="20"/>
              </w:rPr>
            </w:pPr>
            <w:r w:rsidRPr="006F620A">
              <w:rPr>
                <w:rFonts w:ascii="Calibri" w:eastAsia="Times New Roman" w:hAnsi="Calibri" w:cs="Arial"/>
                <w:sz w:val="20"/>
                <w:szCs w:val="20"/>
              </w:rPr>
              <w:t>Golden  West</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51727F0E" w14:textId="484BC84E"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373,974</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30812789" w14:textId="04C743DA"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782,967</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65D67860" w14:textId="11608F12"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728,817</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6FD4F142" w14:textId="5BAD97C6"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1,314,062</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D6E3BC" w:themeFill="accent3" w:themeFillTint="66"/>
          </w:tcPr>
          <w:p w14:paraId="573870E1" w14:textId="15FDB735"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 xml:space="preserve">839,158   </w:t>
            </w:r>
          </w:p>
        </w:tc>
      </w:tr>
      <w:tr w:rsidR="00584187" w:rsidRPr="006F620A" w14:paraId="3E5C1446" w14:textId="77777777" w:rsidTr="001C42F5">
        <w:trPr>
          <w:trHeight w:val="302"/>
          <w:jc w:val="center"/>
        </w:trPr>
        <w:tc>
          <w:tcPr>
            <w:tcW w:w="3330" w:type="dxa"/>
            <w:tcBorders>
              <w:left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D6E3BC" w:themeFill="accent3" w:themeFillTint="66"/>
            <w:noWrap/>
            <w:vAlign w:val="center"/>
          </w:tcPr>
          <w:p w14:paraId="1AEF984D" w14:textId="77777777" w:rsidR="00584187" w:rsidRPr="006F620A" w:rsidRDefault="00584187" w:rsidP="00584187">
            <w:pPr>
              <w:jc w:val="right"/>
              <w:rPr>
                <w:rFonts w:ascii="Calibri" w:eastAsia="Times New Roman" w:hAnsi="Calibri" w:cs="Arial"/>
                <w:sz w:val="20"/>
                <w:szCs w:val="20"/>
              </w:rPr>
            </w:pPr>
            <w:r w:rsidRPr="006F620A">
              <w:rPr>
                <w:rFonts w:ascii="Calibri" w:eastAsia="Times New Roman" w:hAnsi="Calibri" w:cs="Arial"/>
                <w:sz w:val="20"/>
                <w:szCs w:val="20"/>
              </w:rPr>
              <w:t>% of Total GF Revenues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6E3BC" w:themeFill="accent3" w:themeFillTint="66"/>
            <w:noWrap/>
          </w:tcPr>
          <w:p w14:paraId="74B28A93" w14:textId="18D8D7F2"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0.18%</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007B29FC" w14:textId="427FD884"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0.37%</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tcPr>
          <w:p w14:paraId="10065056" w14:textId="112B76BF"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0.34%</w:t>
            </w:r>
          </w:p>
        </w:tc>
        <w:tc>
          <w:tcPr>
            <w:tcW w:w="1584" w:type="dxa"/>
            <w:tcBorders>
              <w:top w:val="single" w:sz="4" w:space="0" w:color="BFBFBF" w:themeColor="background1" w:themeShade="BF"/>
              <w:bottom w:val="single" w:sz="4" w:space="0" w:color="BFBFBF" w:themeColor="background1" w:themeShade="BF"/>
            </w:tcBorders>
            <w:shd w:val="clear" w:color="auto" w:fill="D6E3BC" w:themeFill="accent3" w:themeFillTint="66"/>
            <w:noWrap/>
          </w:tcPr>
          <w:p w14:paraId="5D44B807" w14:textId="369A5FF5"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0.51%</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D6E3BC" w:themeFill="accent3" w:themeFillTint="66"/>
          </w:tcPr>
          <w:p w14:paraId="3054C025" w14:textId="01D81444"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0.33%</w:t>
            </w:r>
          </w:p>
        </w:tc>
      </w:tr>
      <w:tr w:rsidR="00584187" w:rsidRPr="006F620A" w14:paraId="115BCD82" w14:textId="77777777" w:rsidTr="001C42F5">
        <w:trPr>
          <w:trHeight w:val="302"/>
          <w:jc w:val="center"/>
        </w:trPr>
        <w:tc>
          <w:tcPr>
            <w:tcW w:w="3330" w:type="dxa"/>
            <w:tcBorders>
              <w:top w:val="single" w:sz="4" w:space="0" w:color="BFBFBF" w:themeColor="background1" w:themeShade="BF"/>
              <w:left w:val="single" w:sz="4" w:space="0" w:color="D9D9D9" w:themeColor="background1" w:themeShade="D9"/>
              <w:right w:val="single" w:sz="4" w:space="0" w:color="BFBFBF" w:themeColor="background1" w:themeShade="BF"/>
            </w:tcBorders>
            <w:shd w:val="clear" w:color="auto" w:fill="DBE5F1" w:themeFill="accent1" w:themeFillTint="33"/>
            <w:noWrap/>
            <w:vAlign w:val="center"/>
          </w:tcPr>
          <w:p w14:paraId="6D828A2F" w14:textId="77777777" w:rsidR="00584187" w:rsidRPr="006F620A" w:rsidRDefault="00584187" w:rsidP="00584187">
            <w:pPr>
              <w:rPr>
                <w:rFonts w:ascii="Calibri" w:eastAsia="Times New Roman" w:hAnsi="Calibri" w:cs="Arial"/>
                <w:sz w:val="20"/>
                <w:szCs w:val="20"/>
              </w:rPr>
            </w:pPr>
            <w:r w:rsidRPr="006F620A">
              <w:rPr>
                <w:rFonts w:ascii="Calibri" w:eastAsia="Times New Roman" w:hAnsi="Calibri" w:cs="Arial"/>
                <w:sz w:val="20"/>
                <w:szCs w:val="20"/>
              </w:rPr>
              <w:t>Coastline</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43FC153A" w14:textId="0FD4D7EB"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615,786</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38C71821" w14:textId="15CC7D9B"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375,605</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48F57D75" w14:textId="26512247"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694,157</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0CDAD8AF" w14:textId="472C08FE"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446,774</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DBE5F1" w:themeFill="accent1" w:themeFillTint="33"/>
          </w:tcPr>
          <w:p w14:paraId="42B7699F" w14:textId="5C329D4D"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 xml:space="preserve">390,904   </w:t>
            </w:r>
          </w:p>
        </w:tc>
      </w:tr>
      <w:tr w:rsidR="00584187" w:rsidRPr="006F620A" w14:paraId="234C0B45" w14:textId="77777777" w:rsidTr="001C42F5">
        <w:trPr>
          <w:trHeight w:val="302"/>
          <w:jc w:val="center"/>
        </w:trPr>
        <w:tc>
          <w:tcPr>
            <w:tcW w:w="3330" w:type="dxa"/>
            <w:tcBorders>
              <w:left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09E7B86A" w14:textId="77777777" w:rsidR="00584187" w:rsidRPr="006F620A" w:rsidRDefault="00584187" w:rsidP="00584187">
            <w:pPr>
              <w:jc w:val="right"/>
              <w:rPr>
                <w:rFonts w:ascii="Calibri" w:eastAsia="Times New Roman" w:hAnsi="Calibri" w:cs="Arial"/>
                <w:sz w:val="20"/>
                <w:szCs w:val="20"/>
              </w:rPr>
            </w:pPr>
            <w:r w:rsidRPr="006F620A">
              <w:rPr>
                <w:rFonts w:ascii="Calibri" w:eastAsia="Times New Roman" w:hAnsi="Calibri" w:cs="Arial"/>
                <w:sz w:val="20"/>
                <w:szCs w:val="20"/>
              </w:rPr>
              <w:lastRenderedPageBreak/>
              <w:t>% of Total GF Revenues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noWrap/>
          </w:tcPr>
          <w:p w14:paraId="199A793A" w14:textId="65BE001A"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0.29%</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56295AD2" w14:textId="19BCEB42"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0.18%</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tcPr>
          <w:p w14:paraId="0B8DFF56" w14:textId="4FC75ADD"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0.32%</w:t>
            </w:r>
          </w:p>
        </w:tc>
        <w:tc>
          <w:tcPr>
            <w:tcW w:w="1584" w:type="dxa"/>
            <w:tcBorders>
              <w:top w:val="single" w:sz="4" w:space="0" w:color="BFBFBF" w:themeColor="background1" w:themeShade="BF"/>
              <w:bottom w:val="single" w:sz="4" w:space="0" w:color="BFBFBF" w:themeColor="background1" w:themeShade="BF"/>
            </w:tcBorders>
            <w:shd w:val="clear" w:color="auto" w:fill="DBE5F1" w:themeFill="accent1" w:themeFillTint="33"/>
            <w:noWrap/>
          </w:tcPr>
          <w:p w14:paraId="61893FEF" w14:textId="4777BDAC"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0.17%</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DBE5F1" w:themeFill="accent1" w:themeFillTint="33"/>
          </w:tcPr>
          <w:p w14:paraId="6966AEC8" w14:textId="20519890"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0.16%</w:t>
            </w:r>
          </w:p>
        </w:tc>
      </w:tr>
      <w:tr w:rsidR="00584187" w:rsidRPr="006F620A" w14:paraId="28DC5F2F" w14:textId="77777777" w:rsidTr="001C42F5">
        <w:trPr>
          <w:trHeight w:val="302"/>
          <w:jc w:val="center"/>
        </w:trPr>
        <w:tc>
          <w:tcPr>
            <w:tcW w:w="3330" w:type="dxa"/>
            <w:tcBorders>
              <w:top w:val="single" w:sz="4" w:space="0" w:color="BFBFBF" w:themeColor="background1" w:themeShade="BF"/>
              <w:left w:val="single" w:sz="4" w:space="0" w:color="D9D9D9" w:themeColor="background1" w:themeShade="D9"/>
              <w:right w:val="single" w:sz="4" w:space="0" w:color="BFBFBF" w:themeColor="background1" w:themeShade="BF"/>
            </w:tcBorders>
            <w:shd w:val="clear" w:color="auto" w:fill="auto"/>
            <w:noWrap/>
            <w:vAlign w:val="center"/>
          </w:tcPr>
          <w:p w14:paraId="37591D06" w14:textId="77777777" w:rsidR="00584187" w:rsidRPr="006F620A" w:rsidRDefault="00584187" w:rsidP="00584187">
            <w:pPr>
              <w:rPr>
                <w:rFonts w:ascii="Calibri" w:eastAsia="Times New Roman" w:hAnsi="Calibri" w:cs="Arial"/>
                <w:sz w:val="20"/>
                <w:szCs w:val="20"/>
              </w:rPr>
            </w:pPr>
            <w:r w:rsidRPr="006F620A">
              <w:rPr>
                <w:rFonts w:ascii="Calibri" w:eastAsia="Times New Roman" w:hAnsi="Calibri" w:cs="Arial"/>
                <w:sz w:val="20"/>
                <w:szCs w:val="20"/>
              </w:rPr>
              <w:t>Admin  9</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70BB498A" w14:textId="3AC402F2"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 xml:space="preserve">258,568 </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5C013595" w14:textId="1C55E84F"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 xml:space="preserve">352,003 </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3571781C" w14:textId="5A82A209"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200,446</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5D19A1FD" w14:textId="6EB111E8"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188,723</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auto"/>
          </w:tcPr>
          <w:p w14:paraId="3B683C41" w14:textId="65983781"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 xml:space="preserve">2,863,675   </w:t>
            </w:r>
          </w:p>
        </w:tc>
      </w:tr>
      <w:tr w:rsidR="00584187" w:rsidRPr="006F620A" w14:paraId="2AC4753D" w14:textId="77777777" w:rsidTr="001C42F5">
        <w:trPr>
          <w:trHeight w:val="302"/>
          <w:jc w:val="center"/>
        </w:trPr>
        <w:tc>
          <w:tcPr>
            <w:tcW w:w="3330" w:type="dxa"/>
            <w:tcBorders>
              <w:left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auto"/>
            <w:noWrap/>
            <w:vAlign w:val="center"/>
          </w:tcPr>
          <w:p w14:paraId="293C5230" w14:textId="77777777" w:rsidR="00584187" w:rsidRPr="006F620A" w:rsidRDefault="00584187" w:rsidP="00584187">
            <w:pPr>
              <w:jc w:val="right"/>
              <w:rPr>
                <w:rFonts w:ascii="Calibri" w:eastAsia="Times New Roman" w:hAnsi="Calibri" w:cs="Arial"/>
                <w:sz w:val="20"/>
                <w:szCs w:val="20"/>
              </w:rPr>
            </w:pPr>
            <w:r w:rsidRPr="006F620A">
              <w:rPr>
                <w:rFonts w:ascii="Calibri" w:eastAsia="Times New Roman" w:hAnsi="Calibri" w:cs="Arial"/>
                <w:sz w:val="20"/>
                <w:szCs w:val="20"/>
              </w:rPr>
              <w:t>% of Total GF Revenues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0A29B330" w14:textId="6042608A"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0.12%</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7CCBF14E" w14:textId="2758D6C2" w:rsidR="00584187" w:rsidRPr="006F620A" w:rsidRDefault="00584187" w:rsidP="00584187">
            <w:pPr>
              <w:jc w:val="center"/>
              <w:rPr>
                <w:rFonts w:ascii="Calibri" w:eastAsia="Times New Roman" w:hAnsi="Calibri" w:cs="Arial"/>
                <w:sz w:val="20"/>
                <w:szCs w:val="20"/>
              </w:rPr>
            </w:pPr>
            <w:r w:rsidRPr="006F620A">
              <w:rPr>
                <w:rFonts w:ascii="Calibri" w:hAnsi="Calibri"/>
                <w:sz w:val="20"/>
                <w:szCs w:val="20"/>
              </w:rPr>
              <w:t>0.17%</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36F5385E" w14:textId="53AFDE69"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0.09%</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788051E0" w14:textId="6462998A" w:rsidR="00584187" w:rsidRPr="006F620A" w:rsidRDefault="00584187" w:rsidP="00584187">
            <w:pPr>
              <w:jc w:val="center"/>
              <w:rPr>
                <w:rFonts w:ascii="Calibri" w:eastAsia="Times New Roman" w:hAnsi="Calibri" w:cs="Arial"/>
                <w:sz w:val="20"/>
                <w:szCs w:val="20"/>
              </w:rPr>
            </w:pPr>
            <w:r w:rsidRPr="006F620A">
              <w:rPr>
                <w:rFonts w:ascii="Calibri" w:eastAsia="Times New Roman" w:hAnsi="Calibri" w:cs="Arial"/>
                <w:sz w:val="20"/>
                <w:szCs w:val="20"/>
              </w:rPr>
              <w:t>0.07%</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auto"/>
          </w:tcPr>
          <w:p w14:paraId="6DD1F582" w14:textId="7296E9A4" w:rsidR="00584187" w:rsidRPr="006F620A" w:rsidRDefault="000406A6" w:rsidP="00584187">
            <w:pPr>
              <w:jc w:val="center"/>
              <w:rPr>
                <w:rFonts w:ascii="Calibri" w:eastAsia="Times New Roman" w:hAnsi="Calibri" w:cs="Arial"/>
                <w:sz w:val="20"/>
                <w:szCs w:val="20"/>
              </w:rPr>
            </w:pPr>
            <w:r w:rsidRPr="000406A6">
              <w:rPr>
                <w:rFonts w:ascii="Calibri" w:eastAsia="Times New Roman" w:hAnsi="Calibri" w:cs="Arial"/>
                <w:sz w:val="20"/>
                <w:szCs w:val="20"/>
              </w:rPr>
              <w:t>1.14%</w:t>
            </w:r>
          </w:p>
        </w:tc>
      </w:tr>
      <w:tr w:rsidR="00584187" w:rsidRPr="006F620A" w14:paraId="28A83BF8" w14:textId="77777777" w:rsidTr="001C42F5">
        <w:trPr>
          <w:trHeight w:val="302"/>
          <w:jc w:val="center"/>
        </w:trPr>
        <w:tc>
          <w:tcPr>
            <w:tcW w:w="3330" w:type="dxa"/>
            <w:tcBorders>
              <w:top w:val="single" w:sz="4" w:space="0" w:color="BFBFBF" w:themeColor="background1" w:themeShade="BF"/>
              <w:left w:val="single" w:sz="4" w:space="0" w:color="D9D9D9" w:themeColor="background1" w:themeShade="D9"/>
              <w:right w:val="single" w:sz="4" w:space="0" w:color="BFBFBF" w:themeColor="background1" w:themeShade="BF"/>
            </w:tcBorders>
            <w:shd w:val="clear" w:color="auto" w:fill="auto"/>
            <w:noWrap/>
            <w:vAlign w:val="center"/>
          </w:tcPr>
          <w:p w14:paraId="4DD2661F" w14:textId="77777777" w:rsidR="00584187" w:rsidRPr="006F620A" w:rsidRDefault="00584187" w:rsidP="00584187">
            <w:pPr>
              <w:rPr>
                <w:rFonts w:ascii="Calibri" w:eastAsia="Times New Roman" w:hAnsi="Calibri" w:cs="Arial"/>
                <w:sz w:val="20"/>
                <w:szCs w:val="20"/>
              </w:rPr>
            </w:pPr>
            <w:r w:rsidRPr="006F620A">
              <w:rPr>
                <w:rFonts w:ascii="Calibri" w:eastAsia="Times New Roman" w:hAnsi="Calibri" w:cs="Arial"/>
                <w:sz w:val="20"/>
                <w:szCs w:val="20"/>
              </w:rPr>
              <w:t>District  Office</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1BA49F9C" w14:textId="36E2AA70" w:rsidR="00584187" w:rsidRPr="006F620A" w:rsidRDefault="00584187" w:rsidP="00584187">
            <w:pPr>
              <w:jc w:val="center"/>
              <w:rPr>
                <w:rFonts w:ascii="Calibri" w:hAnsi="Calibri"/>
                <w:sz w:val="20"/>
                <w:szCs w:val="20"/>
              </w:rPr>
            </w:pPr>
            <w:r w:rsidRPr="006F620A">
              <w:rPr>
                <w:rFonts w:ascii="Calibri" w:hAnsi="Calibri"/>
                <w:sz w:val="20"/>
                <w:szCs w:val="20"/>
              </w:rPr>
              <w:t>27,988</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158BF02D" w14:textId="1C9ECC6E" w:rsidR="00584187" w:rsidRPr="006F620A" w:rsidRDefault="00584187" w:rsidP="00584187">
            <w:pPr>
              <w:jc w:val="center"/>
              <w:rPr>
                <w:rFonts w:ascii="Calibri" w:hAnsi="Calibri"/>
                <w:sz w:val="20"/>
                <w:szCs w:val="20"/>
              </w:rPr>
            </w:pPr>
            <w:r w:rsidRPr="006F620A">
              <w:rPr>
                <w:rFonts w:ascii="Calibri" w:hAnsi="Calibri"/>
                <w:sz w:val="20"/>
                <w:szCs w:val="20"/>
              </w:rPr>
              <w:t>148,406</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3489B348" w14:textId="34B0C5B4" w:rsidR="00584187" w:rsidRPr="006F620A" w:rsidRDefault="00584187" w:rsidP="00584187">
            <w:pPr>
              <w:jc w:val="center"/>
              <w:rPr>
                <w:rFonts w:ascii="Calibri" w:hAnsi="Calibri"/>
                <w:sz w:val="20"/>
                <w:szCs w:val="20"/>
              </w:rPr>
            </w:pPr>
            <w:r w:rsidRPr="006F620A">
              <w:rPr>
                <w:rFonts w:ascii="Calibri" w:hAnsi="Calibri"/>
                <w:sz w:val="20"/>
                <w:szCs w:val="20"/>
              </w:rPr>
              <w:t>167,983</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21AFAF32" w14:textId="3B26D39C" w:rsidR="00584187" w:rsidRPr="006F620A" w:rsidRDefault="00584187" w:rsidP="00584187">
            <w:pPr>
              <w:jc w:val="center"/>
              <w:rPr>
                <w:rFonts w:ascii="Calibri" w:hAnsi="Calibri"/>
                <w:sz w:val="20"/>
                <w:szCs w:val="20"/>
              </w:rPr>
            </w:pPr>
            <w:r w:rsidRPr="006F620A">
              <w:rPr>
                <w:rFonts w:ascii="Calibri" w:hAnsi="Calibri"/>
                <w:sz w:val="20"/>
                <w:szCs w:val="20"/>
              </w:rPr>
              <w:t>268,320</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auto"/>
          </w:tcPr>
          <w:p w14:paraId="6BE0C310" w14:textId="1EDCA524" w:rsidR="00584187" w:rsidRPr="006F620A" w:rsidRDefault="000406A6" w:rsidP="00584187">
            <w:pPr>
              <w:jc w:val="center"/>
              <w:rPr>
                <w:rFonts w:ascii="Calibri" w:hAnsi="Calibri"/>
                <w:sz w:val="20"/>
                <w:szCs w:val="20"/>
              </w:rPr>
            </w:pPr>
            <w:r w:rsidRPr="000406A6">
              <w:rPr>
                <w:rFonts w:ascii="Calibri" w:hAnsi="Calibri"/>
                <w:sz w:val="20"/>
                <w:szCs w:val="20"/>
              </w:rPr>
              <w:t xml:space="preserve">416,968   </w:t>
            </w:r>
          </w:p>
        </w:tc>
      </w:tr>
      <w:tr w:rsidR="00584187" w:rsidRPr="006F620A" w14:paraId="20CAB5F8" w14:textId="77777777" w:rsidTr="001C42F5">
        <w:trPr>
          <w:trHeight w:val="302"/>
          <w:jc w:val="center"/>
        </w:trPr>
        <w:tc>
          <w:tcPr>
            <w:tcW w:w="3330" w:type="dxa"/>
            <w:tcBorders>
              <w:left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auto"/>
            <w:noWrap/>
            <w:vAlign w:val="center"/>
          </w:tcPr>
          <w:p w14:paraId="59115602" w14:textId="77777777" w:rsidR="00584187" w:rsidRPr="006F620A" w:rsidRDefault="00584187" w:rsidP="00584187">
            <w:pPr>
              <w:jc w:val="right"/>
              <w:rPr>
                <w:rFonts w:ascii="Calibri" w:eastAsia="Times New Roman" w:hAnsi="Calibri" w:cs="Arial"/>
                <w:sz w:val="20"/>
                <w:szCs w:val="20"/>
              </w:rPr>
            </w:pPr>
            <w:r w:rsidRPr="006F620A">
              <w:rPr>
                <w:rFonts w:ascii="Calibri" w:eastAsia="Times New Roman" w:hAnsi="Calibri" w:cs="Arial"/>
                <w:sz w:val="20"/>
                <w:szCs w:val="20"/>
              </w:rPr>
              <w:t>% of Total GF Revenues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091D7E6B" w14:textId="5E50C578" w:rsidR="00584187" w:rsidRPr="006F620A" w:rsidRDefault="00584187" w:rsidP="00584187">
            <w:pPr>
              <w:jc w:val="center"/>
              <w:rPr>
                <w:rFonts w:ascii="Calibri" w:hAnsi="Calibri"/>
                <w:sz w:val="20"/>
                <w:szCs w:val="20"/>
              </w:rPr>
            </w:pPr>
            <w:r w:rsidRPr="006F620A">
              <w:rPr>
                <w:rFonts w:ascii="Calibri" w:hAnsi="Calibri"/>
                <w:sz w:val="20"/>
                <w:szCs w:val="20"/>
              </w:rPr>
              <w:t>0.01%</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4B8793BB" w14:textId="364599E8" w:rsidR="00584187" w:rsidRPr="006F620A" w:rsidRDefault="00584187" w:rsidP="00584187">
            <w:pPr>
              <w:jc w:val="center"/>
              <w:rPr>
                <w:rFonts w:ascii="Calibri" w:hAnsi="Calibri"/>
                <w:sz w:val="20"/>
                <w:szCs w:val="20"/>
              </w:rPr>
            </w:pPr>
            <w:r w:rsidRPr="006F620A">
              <w:rPr>
                <w:rFonts w:ascii="Calibri" w:hAnsi="Calibri"/>
                <w:sz w:val="20"/>
                <w:szCs w:val="20"/>
              </w:rPr>
              <w:t>0.07%</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2B3B4400" w14:textId="30A012A1" w:rsidR="00584187" w:rsidRPr="006F620A" w:rsidRDefault="00584187" w:rsidP="00584187">
            <w:pPr>
              <w:jc w:val="center"/>
              <w:rPr>
                <w:rFonts w:ascii="Calibri" w:hAnsi="Calibri"/>
                <w:sz w:val="20"/>
                <w:szCs w:val="20"/>
              </w:rPr>
            </w:pPr>
            <w:r w:rsidRPr="006F620A">
              <w:rPr>
                <w:rFonts w:ascii="Calibri" w:hAnsi="Calibri"/>
                <w:sz w:val="20"/>
                <w:szCs w:val="20"/>
              </w:rPr>
              <w:t>.08%</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1BAC9064" w14:textId="38DF52C4" w:rsidR="00584187" w:rsidRPr="006F620A" w:rsidRDefault="00584187" w:rsidP="00584187">
            <w:pPr>
              <w:jc w:val="center"/>
              <w:rPr>
                <w:rFonts w:ascii="Calibri" w:hAnsi="Calibri"/>
                <w:sz w:val="20"/>
                <w:szCs w:val="20"/>
              </w:rPr>
            </w:pPr>
            <w:r w:rsidRPr="006F620A">
              <w:rPr>
                <w:rFonts w:ascii="Calibri" w:hAnsi="Calibri"/>
                <w:sz w:val="20"/>
                <w:szCs w:val="20"/>
              </w:rPr>
              <w:t>0.10%</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auto"/>
          </w:tcPr>
          <w:p w14:paraId="462BFE61" w14:textId="37B86DBA" w:rsidR="00584187" w:rsidRPr="006F620A" w:rsidRDefault="000406A6" w:rsidP="00584187">
            <w:pPr>
              <w:jc w:val="center"/>
              <w:rPr>
                <w:rFonts w:ascii="Calibri" w:hAnsi="Calibri"/>
                <w:sz w:val="20"/>
                <w:szCs w:val="20"/>
              </w:rPr>
            </w:pPr>
            <w:r w:rsidRPr="000406A6">
              <w:rPr>
                <w:rFonts w:ascii="Calibri" w:hAnsi="Calibri"/>
                <w:sz w:val="20"/>
                <w:szCs w:val="20"/>
              </w:rPr>
              <w:t>0.17%</w:t>
            </w:r>
          </w:p>
        </w:tc>
      </w:tr>
      <w:tr w:rsidR="00584187" w:rsidRPr="006F620A" w14:paraId="414B2690" w14:textId="77777777" w:rsidTr="001C42F5">
        <w:trPr>
          <w:trHeight w:val="302"/>
          <w:jc w:val="center"/>
        </w:trPr>
        <w:tc>
          <w:tcPr>
            <w:tcW w:w="3330" w:type="dxa"/>
            <w:tcBorders>
              <w:top w:val="single" w:sz="4" w:space="0" w:color="BFBFBF" w:themeColor="background1" w:themeShade="BF"/>
              <w:left w:val="single" w:sz="4" w:space="0" w:color="D9D9D9" w:themeColor="background1" w:themeShade="D9"/>
              <w:right w:val="single" w:sz="4" w:space="0" w:color="BFBFBF" w:themeColor="background1" w:themeShade="BF"/>
            </w:tcBorders>
            <w:shd w:val="clear" w:color="auto" w:fill="D9D9D9" w:themeFill="background1" w:themeFillShade="D9"/>
            <w:noWrap/>
            <w:vAlign w:val="center"/>
          </w:tcPr>
          <w:p w14:paraId="1BB39FB2" w14:textId="77777777" w:rsidR="00584187" w:rsidRPr="006F620A" w:rsidRDefault="00584187" w:rsidP="00584187">
            <w:pPr>
              <w:rPr>
                <w:rFonts w:ascii="Calibri" w:eastAsia="Times New Roman" w:hAnsi="Calibri" w:cs="Arial"/>
                <w:sz w:val="20"/>
                <w:szCs w:val="20"/>
              </w:rPr>
            </w:pPr>
            <w:r w:rsidRPr="006F620A">
              <w:rPr>
                <w:rFonts w:ascii="Calibri" w:eastAsia="Times New Roman" w:hAnsi="Calibri" w:cs="Arial"/>
                <w:sz w:val="20"/>
                <w:szCs w:val="20"/>
              </w:rPr>
              <w:t>Capital Outlay Expenditures Total</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tcPr>
          <w:p w14:paraId="550236C5" w14:textId="74CA8DB5" w:rsidR="00584187" w:rsidRPr="006F620A" w:rsidRDefault="00584187" w:rsidP="000406A6">
            <w:pPr>
              <w:jc w:val="center"/>
              <w:rPr>
                <w:rFonts w:ascii="Calibri" w:hAnsi="Calibri"/>
                <w:sz w:val="20"/>
                <w:szCs w:val="20"/>
              </w:rPr>
            </w:pPr>
            <w:r w:rsidRPr="006F620A">
              <w:rPr>
                <w:rFonts w:ascii="Calibri" w:hAnsi="Calibri"/>
                <w:sz w:val="20"/>
                <w:szCs w:val="20"/>
              </w:rPr>
              <w:t>2,1</w:t>
            </w:r>
            <w:r w:rsidR="000406A6">
              <w:rPr>
                <w:rFonts w:ascii="Calibri" w:hAnsi="Calibri"/>
                <w:sz w:val="20"/>
                <w:szCs w:val="20"/>
              </w:rPr>
              <w:t>46</w:t>
            </w:r>
            <w:r w:rsidRPr="006F620A">
              <w:rPr>
                <w:rFonts w:ascii="Calibri" w:hAnsi="Calibri"/>
                <w:sz w:val="20"/>
                <w:szCs w:val="20"/>
              </w:rPr>
              <w:t>,94</w:t>
            </w:r>
            <w:r w:rsidR="000406A6">
              <w:rPr>
                <w:rFonts w:ascii="Calibri" w:hAnsi="Calibri"/>
                <w:sz w:val="20"/>
                <w:szCs w:val="20"/>
              </w:rPr>
              <w:t>9</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50FC0BDE" w14:textId="6F34DC53" w:rsidR="00584187" w:rsidRPr="006F620A" w:rsidRDefault="00584187" w:rsidP="00584187">
            <w:pPr>
              <w:jc w:val="center"/>
              <w:rPr>
                <w:rFonts w:ascii="Calibri" w:hAnsi="Calibri"/>
                <w:sz w:val="20"/>
                <w:szCs w:val="20"/>
              </w:rPr>
            </w:pPr>
            <w:r w:rsidRPr="006F620A">
              <w:rPr>
                <w:rFonts w:ascii="Calibri" w:hAnsi="Calibri"/>
                <w:sz w:val="20"/>
                <w:szCs w:val="20"/>
              </w:rPr>
              <w:t>2,424,939</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7060177E" w14:textId="338350A3" w:rsidR="00584187" w:rsidRPr="006F620A" w:rsidRDefault="00584187" w:rsidP="00584187">
            <w:pPr>
              <w:jc w:val="center"/>
              <w:rPr>
                <w:rFonts w:ascii="Calibri" w:hAnsi="Calibri"/>
                <w:sz w:val="20"/>
                <w:szCs w:val="20"/>
              </w:rPr>
            </w:pPr>
            <w:r w:rsidRPr="006F620A">
              <w:rPr>
                <w:rFonts w:ascii="Calibri" w:hAnsi="Calibri"/>
                <w:sz w:val="20"/>
                <w:szCs w:val="20"/>
              </w:rPr>
              <w:t>2,759,483</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3172206E" w14:textId="15759871" w:rsidR="00584187" w:rsidRPr="006F620A" w:rsidRDefault="00584187" w:rsidP="00584187">
            <w:pPr>
              <w:jc w:val="center"/>
              <w:rPr>
                <w:rFonts w:ascii="Calibri" w:hAnsi="Calibri"/>
                <w:sz w:val="20"/>
                <w:szCs w:val="20"/>
              </w:rPr>
            </w:pPr>
            <w:r w:rsidRPr="006F620A">
              <w:rPr>
                <w:rFonts w:ascii="Calibri" w:hAnsi="Calibri"/>
                <w:sz w:val="20"/>
                <w:szCs w:val="20"/>
              </w:rPr>
              <w:t>3,785,954</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D9D9D9" w:themeFill="background1" w:themeFillShade="D9"/>
          </w:tcPr>
          <w:p w14:paraId="0252E5EB" w14:textId="1DBA559C" w:rsidR="00584187" w:rsidRPr="006F620A" w:rsidRDefault="000406A6" w:rsidP="00584187">
            <w:pPr>
              <w:jc w:val="center"/>
              <w:rPr>
                <w:rFonts w:ascii="Calibri" w:hAnsi="Calibri"/>
                <w:sz w:val="20"/>
                <w:szCs w:val="20"/>
              </w:rPr>
            </w:pPr>
            <w:r w:rsidRPr="000406A6">
              <w:rPr>
                <w:rFonts w:ascii="Calibri" w:hAnsi="Calibri"/>
                <w:sz w:val="20"/>
                <w:szCs w:val="20"/>
              </w:rPr>
              <w:t xml:space="preserve">6,990,948   </w:t>
            </w:r>
          </w:p>
        </w:tc>
      </w:tr>
      <w:tr w:rsidR="00584187" w:rsidRPr="006F620A" w14:paraId="573618DB" w14:textId="77777777" w:rsidTr="001C42F5">
        <w:trPr>
          <w:trHeight w:val="302"/>
          <w:jc w:val="center"/>
        </w:trPr>
        <w:tc>
          <w:tcPr>
            <w:tcW w:w="3330" w:type="dxa"/>
            <w:tcBorders>
              <w:left w:val="single" w:sz="4" w:space="0" w:color="D9D9D9" w:themeColor="background1" w:themeShade="D9"/>
              <w:right w:val="single" w:sz="4" w:space="0" w:color="BFBFBF" w:themeColor="background1" w:themeShade="BF"/>
            </w:tcBorders>
            <w:shd w:val="clear" w:color="auto" w:fill="D9D9D9" w:themeFill="background1" w:themeFillShade="D9"/>
            <w:noWrap/>
            <w:vAlign w:val="center"/>
          </w:tcPr>
          <w:p w14:paraId="7B133302" w14:textId="77777777" w:rsidR="00584187" w:rsidRPr="006F620A" w:rsidRDefault="00584187" w:rsidP="00584187">
            <w:pPr>
              <w:jc w:val="right"/>
              <w:rPr>
                <w:rFonts w:ascii="Calibri" w:eastAsia="Times New Roman" w:hAnsi="Calibri" w:cs="Arial"/>
                <w:sz w:val="20"/>
                <w:szCs w:val="20"/>
              </w:rPr>
            </w:pPr>
            <w:r w:rsidRPr="006F620A">
              <w:rPr>
                <w:rFonts w:ascii="Calibri" w:eastAsia="Times New Roman" w:hAnsi="Calibri" w:cs="Arial"/>
                <w:sz w:val="20"/>
                <w:szCs w:val="20"/>
              </w:rPr>
              <w:t>% of Total GF Revenues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noWrap/>
          </w:tcPr>
          <w:p w14:paraId="2A98DC9F" w14:textId="09978E8C" w:rsidR="00584187" w:rsidRPr="006F620A" w:rsidRDefault="00584187" w:rsidP="000406A6">
            <w:pPr>
              <w:jc w:val="center"/>
              <w:rPr>
                <w:rFonts w:ascii="Calibri" w:hAnsi="Calibri"/>
                <w:sz w:val="20"/>
                <w:szCs w:val="20"/>
              </w:rPr>
            </w:pPr>
            <w:r w:rsidRPr="006F620A">
              <w:rPr>
                <w:rFonts w:ascii="Calibri" w:hAnsi="Calibri"/>
                <w:sz w:val="20"/>
                <w:szCs w:val="20"/>
              </w:rPr>
              <w:t>1.0</w:t>
            </w:r>
            <w:r w:rsidR="000406A6">
              <w:rPr>
                <w:rFonts w:ascii="Calibri" w:hAnsi="Calibri"/>
                <w:sz w:val="20"/>
                <w:szCs w:val="20"/>
              </w:rPr>
              <w:t>4</w:t>
            </w:r>
            <w:r w:rsidRPr="006F620A">
              <w:rPr>
                <w:rFonts w:ascii="Calibri" w:hAnsi="Calibri"/>
                <w:sz w:val="20"/>
                <w:szCs w:val="20"/>
              </w:rPr>
              <w:t>%</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45549435" w14:textId="7321FC45" w:rsidR="00584187" w:rsidRPr="006F620A" w:rsidRDefault="00584187" w:rsidP="000406A6">
            <w:pPr>
              <w:jc w:val="center"/>
              <w:rPr>
                <w:rFonts w:ascii="Calibri" w:hAnsi="Calibri"/>
                <w:sz w:val="20"/>
                <w:szCs w:val="20"/>
              </w:rPr>
            </w:pPr>
            <w:r w:rsidRPr="006F620A">
              <w:rPr>
                <w:rFonts w:ascii="Calibri" w:hAnsi="Calibri"/>
                <w:sz w:val="20"/>
                <w:szCs w:val="20"/>
              </w:rPr>
              <w:t>1.</w:t>
            </w:r>
            <w:r w:rsidR="000406A6">
              <w:rPr>
                <w:rFonts w:ascii="Calibri" w:hAnsi="Calibri"/>
                <w:sz w:val="20"/>
                <w:szCs w:val="20"/>
              </w:rPr>
              <w:t>22</w:t>
            </w:r>
            <w:r w:rsidRPr="006F620A">
              <w:rPr>
                <w:rFonts w:ascii="Calibri" w:hAnsi="Calibri"/>
                <w:sz w:val="20"/>
                <w:szCs w:val="20"/>
              </w:rPr>
              <w:t>%</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58C683ED" w14:textId="6ADD0A6A" w:rsidR="00584187" w:rsidRPr="006F620A" w:rsidRDefault="00584187" w:rsidP="00584187">
            <w:pPr>
              <w:jc w:val="center"/>
              <w:rPr>
                <w:rFonts w:ascii="Calibri" w:hAnsi="Calibri"/>
                <w:sz w:val="20"/>
                <w:szCs w:val="20"/>
              </w:rPr>
            </w:pPr>
            <w:r w:rsidRPr="006F620A">
              <w:rPr>
                <w:rFonts w:ascii="Calibri" w:hAnsi="Calibri"/>
                <w:sz w:val="20"/>
                <w:szCs w:val="20"/>
              </w:rPr>
              <w:t>1.29%</w:t>
            </w:r>
          </w:p>
        </w:tc>
        <w:tc>
          <w:tcPr>
            <w:tcW w:w="1584" w:type="dxa"/>
            <w:tcBorders>
              <w:top w:val="single" w:sz="4" w:space="0" w:color="BFBFBF" w:themeColor="background1" w:themeShade="BF"/>
              <w:bottom w:val="single" w:sz="4" w:space="0" w:color="BFBFBF" w:themeColor="background1" w:themeShade="BF"/>
            </w:tcBorders>
            <w:shd w:val="clear" w:color="auto" w:fill="D9D9D9" w:themeFill="background1" w:themeFillShade="D9"/>
            <w:noWrap/>
          </w:tcPr>
          <w:p w14:paraId="52C010A9" w14:textId="481BFA2A" w:rsidR="00584187" w:rsidRPr="006F620A" w:rsidRDefault="00584187" w:rsidP="00584187">
            <w:pPr>
              <w:jc w:val="center"/>
              <w:rPr>
                <w:rFonts w:ascii="Calibri" w:hAnsi="Calibri"/>
                <w:sz w:val="20"/>
                <w:szCs w:val="20"/>
              </w:rPr>
            </w:pPr>
            <w:r w:rsidRPr="006F620A">
              <w:rPr>
                <w:rFonts w:ascii="Calibri" w:hAnsi="Calibri"/>
                <w:sz w:val="20"/>
                <w:szCs w:val="20"/>
              </w:rPr>
              <w:t>1.47%</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D9D9D9" w:themeFill="background1" w:themeFillShade="D9"/>
          </w:tcPr>
          <w:p w14:paraId="2D4BFD03" w14:textId="559F6142" w:rsidR="00584187" w:rsidRPr="006F620A" w:rsidRDefault="000406A6" w:rsidP="00584187">
            <w:pPr>
              <w:jc w:val="center"/>
              <w:rPr>
                <w:rFonts w:ascii="Calibri" w:hAnsi="Calibri"/>
                <w:sz w:val="20"/>
                <w:szCs w:val="20"/>
              </w:rPr>
            </w:pPr>
            <w:r>
              <w:rPr>
                <w:rFonts w:ascii="Calibri" w:hAnsi="Calibri"/>
                <w:sz w:val="20"/>
                <w:szCs w:val="20"/>
              </w:rPr>
              <w:t>2.78%</w:t>
            </w:r>
          </w:p>
        </w:tc>
      </w:tr>
      <w:tr w:rsidR="00584187" w:rsidRPr="006F620A" w14:paraId="7B8B5FA7" w14:textId="77777777" w:rsidTr="001C42F5">
        <w:trPr>
          <w:trHeight w:val="302"/>
          <w:jc w:val="center"/>
        </w:trPr>
        <w:tc>
          <w:tcPr>
            <w:tcW w:w="3330" w:type="dxa"/>
            <w:tcBorders>
              <w:left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auto"/>
            <w:noWrap/>
            <w:vAlign w:val="center"/>
          </w:tcPr>
          <w:p w14:paraId="51646F4F" w14:textId="77777777" w:rsidR="00584187" w:rsidRPr="006F620A" w:rsidRDefault="00584187" w:rsidP="00584187">
            <w:pPr>
              <w:rPr>
                <w:rFonts w:ascii="Calibri" w:eastAsia="Times New Roman" w:hAnsi="Calibri" w:cs="Arial"/>
                <w:sz w:val="20"/>
                <w:szCs w:val="20"/>
              </w:rPr>
            </w:pPr>
            <w:r w:rsidRPr="006F620A">
              <w:rPr>
                <w:rFonts w:ascii="Calibri" w:eastAsia="Times New Roman" w:hAnsi="Calibri" w:cs="Arial"/>
                <w:sz w:val="20"/>
                <w:szCs w:val="20"/>
              </w:rPr>
              <w:t>Total GF Revenues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tcPr>
          <w:p w14:paraId="150F1D2B" w14:textId="11E74475" w:rsidR="00584187" w:rsidRPr="006F620A" w:rsidRDefault="00584187" w:rsidP="00584187">
            <w:pPr>
              <w:jc w:val="center"/>
              <w:rPr>
                <w:rFonts w:ascii="Calibri" w:hAnsi="Calibri"/>
                <w:sz w:val="20"/>
                <w:szCs w:val="20"/>
              </w:rPr>
            </w:pPr>
            <w:r w:rsidRPr="006F620A">
              <w:rPr>
                <w:rFonts w:ascii="Calibri" w:hAnsi="Calibri" w:cs="Arial"/>
                <w:sz w:val="20"/>
                <w:szCs w:val="20"/>
              </w:rPr>
              <w:t>205,880,433</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7FDEAA92" w14:textId="7CA3A03A" w:rsidR="00584187" w:rsidRPr="006F620A" w:rsidRDefault="00584187" w:rsidP="00584187">
            <w:pPr>
              <w:jc w:val="center"/>
              <w:rPr>
                <w:rFonts w:ascii="Calibri" w:hAnsi="Calibri"/>
                <w:sz w:val="20"/>
                <w:szCs w:val="20"/>
              </w:rPr>
            </w:pPr>
            <w:r w:rsidRPr="006F620A">
              <w:rPr>
                <w:rFonts w:ascii="Calibri" w:hAnsi="Calibri" w:cs="Arial"/>
                <w:sz w:val="20"/>
                <w:szCs w:val="20"/>
              </w:rPr>
              <w:t>198,727,118</w:t>
            </w:r>
          </w:p>
        </w:tc>
        <w:tc>
          <w:tcPr>
            <w:tcW w:w="1584" w:type="dxa"/>
            <w:tcBorders>
              <w:top w:val="single" w:sz="4" w:space="0" w:color="BFBFBF" w:themeColor="background1" w:themeShade="BF"/>
              <w:bottom w:val="single" w:sz="4" w:space="0" w:color="BFBFBF" w:themeColor="background1" w:themeShade="BF"/>
            </w:tcBorders>
            <w:shd w:val="clear" w:color="auto" w:fill="auto"/>
          </w:tcPr>
          <w:p w14:paraId="1C42ACD6" w14:textId="3433380A" w:rsidR="00584187" w:rsidRPr="006F620A" w:rsidRDefault="00584187" w:rsidP="00584187">
            <w:pPr>
              <w:jc w:val="center"/>
              <w:rPr>
                <w:rFonts w:ascii="Calibri" w:hAnsi="Calibri"/>
                <w:sz w:val="20"/>
                <w:szCs w:val="20"/>
              </w:rPr>
            </w:pPr>
            <w:r w:rsidRPr="006F620A">
              <w:rPr>
                <w:rFonts w:ascii="Calibri" w:hAnsi="Calibri" w:cs="Arial"/>
                <w:sz w:val="20"/>
                <w:szCs w:val="20"/>
              </w:rPr>
              <w:t>214,388,903</w:t>
            </w:r>
          </w:p>
        </w:tc>
        <w:tc>
          <w:tcPr>
            <w:tcW w:w="1584" w:type="dxa"/>
            <w:tcBorders>
              <w:top w:val="single" w:sz="4" w:space="0" w:color="BFBFBF" w:themeColor="background1" w:themeShade="BF"/>
              <w:bottom w:val="single" w:sz="4" w:space="0" w:color="BFBFBF" w:themeColor="background1" w:themeShade="BF"/>
            </w:tcBorders>
            <w:shd w:val="clear" w:color="auto" w:fill="auto"/>
            <w:noWrap/>
          </w:tcPr>
          <w:p w14:paraId="44ED42B7" w14:textId="23907259" w:rsidR="00584187" w:rsidRPr="006F620A" w:rsidRDefault="00584187" w:rsidP="00584187">
            <w:pPr>
              <w:jc w:val="center"/>
              <w:rPr>
                <w:rFonts w:ascii="Calibri" w:hAnsi="Calibri"/>
                <w:sz w:val="20"/>
                <w:szCs w:val="20"/>
              </w:rPr>
            </w:pPr>
            <w:r w:rsidRPr="006F620A">
              <w:rPr>
                <w:rFonts w:ascii="Calibri" w:hAnsi="Calibri"/>
                <w:sz w:val="20"/>
                <w:szCs w:val="20"/>
              </w:rPr>
              <w:t>257,140,218</w:t>
            </w:r>
          </w:p>
        </w:tc>
        <w:tc>
          <w:tcPr>
            <w:tcW w:w="1584"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auto"/>
          </w:tcPr>
          <w:p w14:paraId="5D25506D" w14:textId="57F372B9" w:rsidR="00584187" w:rsidRPr="006F620A" w:rsidRDefault="007711BA" w:rsidP="00584187">
            <w:pPr>
              <w:jc w:val="center"/>
              <w:rPr>
                <w:rFonts w:ascii="Calibri" w:hAnsi="Calibri"/>
                <w:sz w:val="20"/>
                <w:szCs w:val="20"/>
              </w:rPr>
            </w:pPr>
            <w:r>
              <w:rPr>
                <w:rFonts w:ascii="Calibri" w:hAnsi="Calibri"/>
                <w:sz w:val="20"/>
                <w:szCs w:val="20"/>
              </w:rPr>
              <w:t>251,619,785</w:t>
            </w:r>
          </w:p>
        </w:tc>
      </w:tr>
    </w:tbl>
    <w:p w14:paraId="2CE185C0" w14:textId="77777777" w:rsidR="002A30E5" w:rsidRPr="006F620A" w:rsidRDefault="002A30E5" w:rsidP="002A30E5">
      <w:pPr>
        <w:keepNext/>
        <w:keepLines/>
        <w:autoSpaceDE w:val="0"/>
        <w:autoSpaceDN w:val="0"/>
        <w:adjustRightInd w:val="0"/>
        <w:rPr>
          <w:bCs/>
          <w:sz w:val="16"/>
          <w:szCs w:val="16"/>
        </w:rPr>
      </w:pPr>
      <w:r w:rsidRPr="006F620A">
        <w:rPr>
          <w:bCs/>
          <w:sz w:val="16"/>
          <w:szCs w:val="16"/>
        </w:rPr>
        <w:t>Source: Fiscal Executive Summary Cube</w:t>
      </w:r>
    </w:p>
    <w:p w14:paraId="62D4E8CB" w14:textId="77777777" w:rsidR="002A30E5" w:rsidRPr="00B9364B" w:rsidRDefault="002A30E5" w:rsidP="002A30E5">
      <w:pPr>
        <w:autoSpaceDE w:val="0"/>
        <w:autoSpaceDN w:val="0"/>
        <w:adjustRightInd w:val="0"/>
        <w:rPr>
          <w:bCs/>
          <w:color w:val="FF0000"/>
          <w:sz w:val="16"/>
          <w:szCs w:val="16"/>
        </w:rPr>
      </w:pPr>
    </w:p>
    <w:p w14:paraId="1CF3AFFB" w14:textId="77777777" w:rsidR="002A30E5" w:rsidRPr="00B9364B" w:rsidRDefault="002A30E5" w:rsidP="002A30E5">
      <w:pPr>
        <w:rPr>
          <w:bCs/>
          <w:color w:val="FF0000"/>
          <w:sz w:val="16"/>
          <w:szCs w:val="16"/>
        </w:rPr>
      </w:pPr>
    </w:p>
    <w:p w14:paraId="4BB2E9CE" w14:textId="77777777" w:rsidR="002A30E5" w:rsidRPr="00B9364B" w:rsidRDefault="002A30E5" w:rsidP="002A30E5">
      <w:pPr>
        <w:rPr>
          <w:rFonts w:asciiTheme="majorHAnsi" w:eastAsiaTheme="majorEastAsia" w:hAnsiTheme="majorHAnsi" w:cstheme="majorBidi"/>
          <w:b/>
          <w:bCs/>
          <w:color w:val="FF0000"/>
          <w:sz w:val="26"/>
          <w:szCs w:val="26"/>
        </w:rPr>
      </w:pPr>
      <w:bookmarkStart w:id="145" w:name="_Toc288801626"/>
      <w:bookmarkStart w:id="146" w:name="_Toc341183265"/>
      <w:r w:rsidRPr="00B9364B">
        <w:rPr>
          <w:color w:val="FF0000"/>
        </w:rPr>
        <w:br w:type="page"/>
      </w:r>
    </w:p>
    <w:p w14:paraId="29C05177" w14:textId="77777777" w:rsidR="002A30E5" w:rsidRPr="00D302B5" w:rsidRDefault="002A30E5" w:rsidP="002A30E5">
      <w:pPr>
        <w:pStyle w:val="Heading2"/>
        <w:spacing w:before="0"/>
        <w:rPr>
          <w:color w:val="auto"/>
        </w:rPr>
      </w:pPr>
      <w:bookmarkStart w:id="147" w:name="_Toc506217444"/>
      <w:r w:rsidRPr="00D302B5">
        <w:rPr>
          <w:color w:val="auto"/>
        </w:rPr>
        <w:lastRenderedPageBreak/>
        <w:t>General Fund Balance as a Percentage of Total Unrestricted General Fund Expenses</w:t>
      </w:r>
      <w:bookmarkEnd w:id="145"/>
      <w:bookmarkEnd w:id="146"/>
      <w:bookmarkEnd w:id="147"/>
      <w:r w:rsidRPr="00D302B5">
        <w:rPr>
          <w:color w:val="auto"/>
        </w:rPr>
        <w:t xml:space="preserve"> </w:t>
      </w:r>
    </w:p>
    <w:p w14:paraId="5201FC99" w14:textId="77777777" w:rsidR="002A30E5" w:rsidRPr="00D302B5" w:rsidRDefault="002A30E5" w:rsidP="002A30E5">
      <w:pPr>
        <w:pStyle w:val="Heading2"/>
        <w:spacing w:before="0"/>
        <w:rPr>
          <w:color w:val="auto"/>
          <w:sz w:val="16"/>
          <w:szCs w:val="16"/>
        </w:rPr>
      </w:pPr>
    </w:p>
    <w:p w14:paraId="31446687" w14:textId="7CBC48C5" w:rsidR="002A30E5" w:rsidRPr="00D302B5" w:rsidRDefault="002A30E5" w:rsidP="002A30E5">
      <w:pPr>
        <w:autoSpaceDE w:val="0"/>
        <w:autoSpaceDN w:val="0"/>
        <w:adjustRightInd w:val="0"/>
        <w:spacing w:line="240" w:lineRule="auto"/>
      </w:pPr>
      <w:r w:rsidRPr="00D302B5">
        <w:t xml:space="preserve">Total general fund balances as a percentage of total unrestricted general fund expenses </w:t>
      </w:r>
      <w:r w:rsidR="00B64A0D">
        <w:t>de</w:t>
      </w:r>
      <w:r w:rsidRPr="00D302B5">
        <w:t xml:space="preserve">creased from </w:t>
      </w:r>
      <w:r w:rsidR="00B64A0D">
        <w:t>22.51</w:t>
      </w:r>
      <w:r w:rsidRPr="00D302B5">
        <w:t>% in 201</w:t>
      </w:r>
      <w:r w:rsidR="00B64A0D">
        <w:t>2</w:t>
      </w:r>
      <w:r w:rsidRPr="00D302B5">
        <w:t>-1</w:t>
      </w:r>
      <w:r w:rsidR="00B64A0D">
        <w:t>3</w:t>
      </w:r>
      <w:r w:rsidRPr="00D302B5">
        <w:t xml:space="preserve"> to</w:t>
      </w:r>
      <w:r w:rsidR="00B64A0D">
        <w:t xml:space="preserve"> 18.60</w:t>
      </w:r>
      <w:r w:rsidRPr="00D302B5">
        <w:t>% in 201</w:t>
      </w:r>
      <w:r w:rsidR="00B64A0D">
        <w:t>6</w:t>
      </w:r>
      <w:r w:rsidRPr="00D302B5">
        <w:t>-1</w:t>
      </w:r>
      <w:r w:rsidR="00B64A0D">
        <w:t>7</w:t>
      </w:r>
      <w:r w:rsidR="00D5094A">
        <w:t>. F</w:t>
      </w:r>
      <w:r w:rsidRPr="00D302B5">
        <w:t>ollowing Board Policy 6200, the Adopted Budget reflects an Unrestricted General Reserve of 5% and a Reserve for Contingency of 3%, for a total of $17.</w:t>
      </w:r>
      <w:r w:rsidR="00B64A0D">
        <w:t>6</w:t>
      </w:r>
      <w:r w:rsidRPr="00D302B5">
        <w:t xml:space="preserve"> million, or 8% of the prior year unrestricted general fund expense.</w:t>
      </w:r>
    </w:p>
    <w:p w14:paraId="281E26EE" w14:textId="77777777" w:rsidR="002A30E5" w:rsidRPr="00D302B5" w:rsidRDefault="002A30E5" w:rsidP="002A30E5">
      <w:pPr>
        <w:rPr>
          <w:szCs w:val="24"/>
        </w:rPr>
      </w:pPr>
    </w:p>
    <w:p w14:paraId="27C842CB" w14:textId="77777777" w:rsidR="002A30E5" w:rsidRPr="00D302B5" w:rsidRDefault="002A30E5" w:rsidP="002A30E5">
      <w:pPr>
        <w:autoSpaceDE w:val="0"/>
        <w:autoSpaceDN w:val="0"/>
        <w:adjustRightInd w:val="0"/>
        <w:jc w:val="center"/>
        <w:rPr>
          <w:b/>
          <w:bCs/>
          <w:sz w:val="20"/>
        </w:rPr>
      </w:pPr>
      <w:r w:rsidRPr="00D302B5">
        <w:rPr>
          <w:b/>
          <w:bCs/>
          <w:sz w:val="20"/>
        </w:rPr>
        <w:t>Total Fund Balances as a Percentage of Unrestricted General Fund Expenditures Excluding Transfers</w:t>
      </w:r>
    </w:p>
    <w:tbl>
      <w:tblPr>
        <w:tblW w:w="0" w:type="auto"/>
        <w:jc w:val="center"/>
        <w:tblLayout w:type="fixed"/>
        <w:tblLook w:val="04A0" w:firstRow="1" w:lastRow="0" w:firstColumn="1" w:lastColumn="0" w:noHBand="0" w:noVBand="1"/>
      </w:tblPr>
      <w:tblGrid>
        <w:gridCol w:w="2971"/>
        <w:gridCol w:w="1327"/>
        <w:gridCol w:w="1576"/>
        <w:gridCol w:w="1576"/>
        <w:gridCol w:w="1576"/>
        <w:gridCol w:w="1576"/>
      </w:tblGrid>
      <w:tr w:rsidR="00584187" w:rsidRPr="00D302B5" w14:paraId="3897EB47" w14:textId="77777777" w:rsidTr="001C42F5">
        <w:trPr>
          <w:trHeight w:val="281"/>
          <w:jc w:val="center"/>
        </w:trPr>
        <w:tc>
          <w:tcPr>
            <w:tcW w:w="2971" w:type="dxa"/>
            <w:tcBorders>
              <w:top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bottom"/>
          </w:tcPr>
          <w:p w14:paraId="48B7206A" w14:textId="77777777" w:rsidR="00584187" w:rsidRPr="00D302B5" w:rsidRDefault="00584187" w:rsidP="00584187">
            <w:pPr>
              <w:rPr>
                <w:rFonts w:ascii="Calibri" w:eastAsia="Times New Roman" w:hAnsi="Calibri" w:cs="Arial"/>
                <w:b/>
                <w:sz w:val="18"/>
                <w:szCs w:val="18"/>
              </w:rPr>
            </w:pPr>
            <w:r w:rsidRPr="00D302B5">
              <w:rPr>
                <w:rFonts w:ascii="Calibri" w:eastAsia="Times New Roman" w:hAnsi="Calibri" w:cs="Arial"/>
                <w:b/>
                <w:sz w:val="18"/>
                <w:szCs w:val="18"/>
              </w:rPr>
              <w:t>Fund Balance as a Percentage of Unrestricted Expenses</w:t>
            </w:r>
          </w:p>
        </w:tc>
        <w:tc>
          <w:tcPr>
            <w:tcW w:w="1327" w:type="dxa"/>
            <w:tcBorders>
              <w:top w:val="single" w:sz="4" w:space="0" w:color="BFBFBF" w:themeColor="background1" w:themeShade="BF"/>
              <w:left w:val="single" w:sz="4" w:space="0" w:color="BFBFBF" w:themeColor="background1" w:themeShade="BF"/>
              <w:bottom w:val="single" w:sz="4" w:space="0" w:color="auto"/>
            </w:tcBorders>
            <w:shd w:val="clear" w:color="auto" w:fill="D9D9D9" w:themeFill="background1" w:themeFillShade="D9"/>
            <w:noWrap/>
            <w:vAlign w:val="bottom"/>
          </w:tcPr>
          <w:p w14:paraId="346364F7" w14:textId="40E80135" w:rsidR="00584187" w:rsidRPr="00D302B5" w:rsidRDefault="00584187" w:rsidP="00584187">
            <w:pPr>
              <w:jc w:val="center"/>
              <w:rPr>
                <w:rFonts w:ascii="Calibri" w:eastAsia="Times New Roman" w:hAnsi="Calibri" w:cs="Arial"/>
                <w:b/>
                <w:sz w:val="18"/>
                <w:szCs w:val="18"/>
              </w:rPr>
            </w:pPr>
            <w:r w:rsidRPr="00D302B5">
              <w:rPr>
                <w:rFonts w:ascii="Calibri" w:eastAsia="Times New Roman" w:hAnsi="Calibri" w:cs="Arial"/>
                <w:b/>
                <w:sz w:val="20"/>
                <w:szCs w:val="20"/>
              </w:rPr>
              <w:t>FY  2012-13</w:t>
            </w:r>
          </w:p>
        </w:tc>
        <w:tc>
          <w:tcPr>
            <w:tcW w:w="1576" w:type="dxa"/>
            <w:tcBorders>
              <w:top w:val="single" w:sz="4" w:space="0" w:color="BFBFBF" w:themeColor="background1" w:themeShade="BF"/>
              <w:bottom w:val="single" w:sz="4" w:space="0" w:color="auto"/>
            </w:tcBorders>
            <w:shd w:val="clear" w:color="auto" w:fill="D9D9D9" w:themeFill="background1" w:themeFillShade="D9"/>
            <w:noWrap/>
            <w:vAlign w:val="bottom"/>
          </w:tcPr>
          <w:p w14:paraId="64252521" w14:textId="0491FECF" w:rsidR="00584187" w:rsidRPr="00D302B5" w:rsidRDefault="00584187" w:rsidP="00584187">
            <w:pPr>
              <w:jc w:val="center"/>
              <w:rPr>
                <w:rFonts w:ascii="Calibri" w:eastAsia="Times New Roman" w:hAnsi="Calibri" w:cs="Arial"/>
                <w:b/>
                <w:sz w:val="18"/>
                <w:szCs w:val="18"/>
              </w:rPr>
            </w:pPr>
            <w:r w:rsidRPr="00D302B5">
              <w:rPr>
                <w:rFonts w:ascii="Calibri" w:eastAsia="Times New Roman" w:hAnsi="Calibri" w:cs="Arial"/>
                <w:b/>
                <w:sz w:val="20"/>
                <w:szCs w:val="20"/>
              </w:rPr>
              <w:t>FY  2013-14</w:t>
            </w:r>
          </w:p>
        </w:tc>
        <w:tc>
          <w:tcPr>
            <w:tcW w:w="1576" w:type="dxa"/>
            <w:tcBorders>
              <w:top w:val="single" w:sz="4" w:space="0" w:color="BFBFBF" w:themeColor="background1" w:themeShade="BF"/>
              <w:bottom w:val="single" w:sz="4" w:space="0" w:color="auto"/>
            </w:tcBorders>
            <w:shd w:val="clear" w:color="auto" w:fill="D9D9D9" w:themeFill="background1" w:themeFillShade="D9"/>
            <w:vAlign w:val="bottom"/>
          </w:tcPr>
          <w:p w14:paraId="000E552F" w14:textId="5A39B09A" w:rsidR="00584187" w:rsidRPr="00D302B5" w:rsidRDefault="00584187" w:rsidP="00584187">
            <w:pPr>
              <w:jc w:val="center"/>
              <w:rPr>
                <w:rFonts w:ascii="Calibri" w:eastAsia="Times New Roman" w:hAnsi="Calibri" w:cs="Arial"/>
                <w:b/>
                <w:sz w:val="18"/>
                <w:szCs w:val="18"/>
              </w:rPr>
            </w:pPr>
            <w:r w:rsidRPr="00D302B5">
              <w:rPr>
                <w:rFonts w:ascii="Calibri" w:eastAsia="Times New Roman" w:hAnsi="Calibri" w:cs="Arial"/>
                <w:b/>
                <w:sz w:val="20"/>
                <w:szCs w:val="20"/>
              </w:rPr>
              <w:t>FY  2014-15</w:t>
            </w:r>
          </w:p>
        </w:tc>
        <w:tc>
          <w:tcPr>
            <w:tcW w:w="1576" w:type="dxa"/>
            <w:tcBorders>
              <w:top w:val="single" w:sz="4" w:space="0" w:color="BFBFBF" w:themeColor="background1" w:themeShade="BF"/>
              <w:bottom w:val="single" w:sz="4" w:space="0" w:color="auto"/>
            </w:tcBorders>
            <w:shd w:val="clear" w:color="auto" w:fill="D9D9D9" w:themeFill="background1" w:themeFillShade="D9"/>
            <w:noWrap/>
            <w:vAlign w:val="bottom"/>
          </w:tcPr>
          <w:p w14:paraId="40E698A8" w14:textId="0D309C35" w:rsidR="00584187" w:rsidRPr="00D302B5" w:rsidRDefault="00584187" w:rsidP="00584187">
            <w:pPr>
              <w:jc w:val="center"/>
              <w:rPr>
                <w:rFonts w:ascii="Calibri" w:eastAsia="Times New Roman" w:hAnsi="Calibri" w:cs="Arial"/>
                <w:b/>
                <w:sz w:val="18"/>
                <w:szCs w:val="18"/>
              </w:rPr>
            </w:pPr>
            <w:r w:rsidRPr="00D302B5">
              <w:rPr>
                <w:rFonts w:ascii="Calibri" w:eastAsia="Times New Roman" w:hAnsi="Calibri" w:cs="Arial"/>
                <w:b/>
                <w:sz w:val="20"/>
                <w:szCs w:val="20"/>
              </w:rPr>
              <w:t>FY  2015-16</w:t>
            </w:r>
          </w:p>
        </w:tc>
        <w:tc>
          <w:tcPr>
            <w:tcW w:w="1576" w:type="dxa"/>
            <w:tcBorders>
              <w:top w:val="single" w:sz="4" w:space="0" w:color="BFBFBF" w:themeColor="background1" w:themeShade="BF"/>
              <w:bottom w:val="single" w:sz="4" w:space="0" w:color="auto"/>
            </w:tcBorders>
            <w:shd w:val="clear" w:color="auto" w:fill="D9D9D9" w:themeFill="background1" w:themeFillShade="D9"/>
            <w:vAlign w:val="bottom"/>
          </w:tcPr>
          <w:p w14:paraId="697B41CB" w14:textId="7DD01994" w:rsidR="00584187" w:rsidRPr="00D302B5" w:rsidRDefault="00584187" w:rsidP="00584187">
            <w:pPr>
              <w:jc w:val="center"/>
              <w:rPr>
                <w:rFonts w:ascii="Calibri" w:eastAsia="Times New Roman" w:hAnsi="Calibri" w:cs="Arial"/>
                <w:b/>
                <w:sz w:val="18"/>
                <w:szCs w:val="18"/>
              </w:rPr>
            </w:pPr>
            <w:r w:rsidRPr="00D302B5">
              <w:rPr>
                <w:rFonts w:ascii="Calibri" w:eastAsia="Times New Roman" w:hAnsi="Calibri" w:cs="Arial"/>
                <w:b/>
                <w:sz w:val="20"/>
                <w:szCs w:val="20"/>
              </w:rPr>
              <w:t>FY  201</w:t>
            </w:r>
            <w:r>
              <w:rPr>
                <w:rFonts w:ascii="Calibri" w:eastAsia="Times New Roman" w:hAnsi="Calibri" w:cs="Arial"/>
                <w:b/>
                <w:sz w:val="20"/>
                <w:szCs w:val="20"/>
              </w:rPr>
              <w:t>6-17</w:t>
            </w:r>
          </w:p>
        </w:tc>
      </w:tr>
      <w:tr w:rsidR="00584187" w:rsidRPr="00D302B5" w14:paraId="316C68CB" w14:textId="77777777" w:rsidTr="001C42F5">
        <w:trPr>
          <w:trHeight w:val="281"/>
          <w:jc w:val="center"/>
        </w:trPr>
        <w:tc>
          <w:tcPr>
            <w:tcW w:w="2971" w:type="dxa"/>
            <w:tcBorders>
              <w:top w:val="single" w:sz="4" w:space="0" w:color="BFBFBF" w:themeColor="background1" w:themeShade="BF"/>
              <w:right w:val="single" w:sz="4" w:space="0" w:color="BFBFBF" w:themeColor="background1" w:themeShade="BF"/>
            </w:tcBorders>
            <w:shd w:val="clear" w:color="auto" w:fill="FBD4B4" w:themeFill="accent6" w:themeFillTint="66"/>
            <w:noWrap/>
            <w:vAlign w:val="bottom"/>
          </w:tcPr>
          <w:p w14:paraId="3729D72A" w14:textId="77777777" w:rsidR="00584187" w:rsidRPr="00D302B5" w:rsidRDefault="00584187" w:rsidP="00584187">
            <w:pPr>
              <w:rPr>
                <w:rFonts w:ascii="Calibri" w:eastAsia="Times New Roman" w:hAnsi="Calibri" w:cs="Arial"/>
                <w:sz w:val="18"/>
                <w:szCs w:val="18"/>
              </w:rPr>
            </w:pPr>
            <w:r w:rsidRPr="00D302B5">
              <w:rPr>
                <w:rFonts w:ascii="Calibri" w:eastAsia="Times New Roman" w:hAnsi="Calibri" w:cs="Arial"/>
                <w:sz w:val="18"/>
                <w:szCs w:val="18"/>
              </w:rPr>
              <w:t>Orange  Coast</w:t>
            </w:r>
          </w:p>
        </w:tc>
        <w:tc>
          <w:tcPr>
            <w:tcW w:w="1327" w:type="dxa"/>
            <w:tcBorders>
              <w:top w:val="single" w:sz="4" w:space="0" w:color="BFBFBF" w:themeColor="background1" w:themeShade="BF"/>
              <w:left w:val="single" w:sz="4" w:space="0" w:color="BFBFBF" w:themeColor="background1" w:themeShade="BF"/>
            </w:tcBorders>
            <w:shd w:val="clear" w:color="auto" w:fill="FBD4B4" w:themeFill="accent6" w:themeFillTint="66"/>
            <w:noWrap/>
          </w:tcPr>
          <w:p w14:paraId="5B302DF6" w14:textId="2736C680"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7.83%</w:t>
            </w:r>
          </w:p>
        </w:tc>
        <w:tc>
          <w:tcPr>
            <w:tcW w:w="1576" w:type="dxa"/>
            <w:tcBorders>
              <w:top w:val="single" w:sz="4" w:space="0" w:color="BFBFBF" w:themeColor="background1" w:themeShade="BF"/>
            </w:tcBorders>
            <w:shd w:val="clear" w:color="auto" w:fill="FBD4B4" w:themeFill="accent6" w:themeFillTint="66"/>
            <w:noWrap/>
          </w:tcPr>
          <w:p w14:paraId="6260300D" w14:textId="282B1B2A"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11.48%</w:t>
            </w:r>
          </w:p>
        </w:tc>
        <w:tc>
          <w:tcPr>
            <w:tcW w:w="1576" w:type="dxa"/>
            <w:tcBorders>
              <w:top w:val="single" w:sz="4" w:space="0" w:color="BFBFBF" w:themeColor="background1" w:themeShade="BF"/>
            </w:tcBorders>
            <w:shd w:val="clear" w:color="auto" w:fill="FBD4B4" w:themeFill="accent6" w:themeFillTint="66"/>
          </w:tcPr>
          <w:p w14:paraId="1F203BF7" w14:textId="454DEE2D"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7.20%</w:t>
            </w:r>
          </w:p>
        </w:tc>
        <w:tc>
          <w:tcPr>
            <w:tcW w:w="1576" w:type="dxa"/>
            <w:tcBorders>
              <w:top w:val="single" w:sz="4" w:space="0" w:color="BFBFBF" w:themeColor="background1" w:themeShade="BF"/>
            </w:tcBorders>
            <w:shd w:val="clear" w:color="auto" w:fill="FBD4B4" w:themeFill="accent6" w:themeFillTint="66"/>
            <w:noWrap/>
          </w:tcPr>
          <w:p w14:paraId="32A93305" w14:textId="5CD66E0F"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6.32%</w:t>
            </w:r>
          </w:p>
        </w:tc>
        <w:tc>
          <w:tcPr>
            <w:tcW w:w="1576" w:type="dxa"/>
            <w:tcBorders>
              <w:top w:val="single" w:sz="4" w:space="0" w:color="BFBFBF" w:themeColor="background1" w:themeShade="BF"/>
            </w:tcBorders>
            <w:shd w:val="clear" w:color="auto" w:fill="FBD4B4" w:themeFill="accent6" w:themeFillTint="66"/>
          </w:tcPr>
          <w:p w14:paraId="20171AD0" w14:textId="3E789775"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6.56%</w:t>
            </w:r>
          </w:p>
        </w:tc>
      </w:tr>
      <w:tr w:rsidR="00584187" w:rsidRPr="00D302B5" w14:paraId="663E09FF" w14:textId="77777777" w:rsidTr="001C42F5">
        <w:trPr>
          <w:trHeight w:val="281"/>
          <w:jc w:val="center"/>
        </w:trPr>
        <w:tc>
          <w:tcPr>
            <w:tcW w:w="2971" w:type="dxa"/>
            <w:tcBorders>
              <w:right w:val="single" w:sz="4" w:space="0" w:color="BFBFBF" w:themeColor="background1" w:themeShade="BF"/>
            </w:tcBorders>
            <w:shd w:val="clear" w:color="auto" w:fill="FBD4B4" w:themeFill="accent6" w:themeFillTint="66"/>
            <w:noWrap/>
            <w:vAlign w:val="bottom"/>
          </w:tcPr>
          <w:p w14:paraId="26FCF54F"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Fund Balance</w:t>
            </w:r>
          </w:p>
        </w:tc>
        <w:tc>
          <w:tcPr>
            <w:tcW w:w="1327" w:type="dxa"/>
            <w:tcBorders>
              <w:left w:val="single" w:sz="4" w:space="0" w:color="BFBFBF" w:themeColor="background1" w:themeShade="BF"/>
            </w:tcBorders>
            <w:shd w:val="clear" w:color="auto" w:fill="FBD4B4" w:themeFill="accent6" w:themeFillTint="66"/>
            <w:noWrap/>
          </w:tcPr>
          <w:p w14:paraId="515BAF11" w14:textId="751B41B0"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5,601,511 </w:t>
            </w:r>
          </w:p>
        </w:tc>
        <w:tc>
          <w:tcPr>
            <w:tcW w:w="1576" w:type="dxa"/>
            <w:shd w:val="clear" w:color="auto" w:fill="FBD4B4" w:themeFill="accent6" w:themeFillTint="66"/>
            <w:noWrap/>
          </w:tcPr>
          <w:p w14:paraId="4557F113" w14:textId="5E2900AC"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7,997,857 </w:t>
            </w:r>
          </w:p>
        </w:tc>
        <w:tc>
          <w:tcPr>
            <w:tcW w:w="1576" w:type="dxa"/>
            <w:shd w:val="clear" w:color="auto" w:fill="FBD4B4" w:themeFill="accent6" w:themeFillTint="66"/>
          </w:tcPr>
          <w:p w14:paraId="59C82DD5" w14:textId="69B023B0"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5,567,831</w:t>
            </w:r>
          </w:p>
        </w:tc>
        <w:tc>
          <w:tcPr>
            <w:tcW w:w="1576" w:type="dxa"/>
            <w:shd w:val="clear" w:color="auto" w:fill="FBD4B4" w:themeFill="accent6" w:themeFillTint="66"/>
            <w:noWrap/>
          </w:tcPr>
          <w:p w14:paraId="6F932C9A" w14:textId="72863477"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4,992,821</w:t>
            </w:r>
          </w:p>
        </w:tc>
        <w:tc>
          <w:tcPr>
            <w:tcW w:w="1576" w:type="dxa"/>
            <w:shd w:val="clear" w:color="auto" w:fill="FBD4B4" w:themeFill="accent6" w:themeFillTint="66"/>
          </w:tcPr>
          <w:p w14:paraId="7C23032F" w14:textId="7B1915A1"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5,427,377</w:t>
            </w:r>
          </w:p>
        </w:tc>
      </w:tr>
      <w:tr w:rsidR="00584187" w:rsidRPr="00D302B5" w14:paraId="749C7A09" w14:textId="77777777" w:rsidTr="001C42F5">
        <w:trPr>
          <w:trHeight w:val="281"/>
          <w:jc w:val="center"/>
        </w:trPr>
        <w:tc>
          <w:tcPr>
            <w:tcW w:w="2971" w:type="dxa"/>
            <w:tcBorders>
              <w:bottom w:val="single" w:sz="4" w:space="0" w:color="BFBFBF" w:themeColor="background1" w:themeShade="BF"/>
              <w:right w:val="single" w:sz="4" w:space="0" w:color="BFBFBF" w:themeColor="background1" w:themeShade="BF"/>
            </w:tcBorders>
            <w:shd w:val="clear" w:color="auto" w:fill="FBD4B4" w:themeFill="accent6" w:themeFillTint="66"/>
            <w:noWrap/>
            <w:vAlign w:val="bottom"/>
          </w:tcPr>
          <w:p w14:paraId="75127970"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Unrestricted Expenses</w:t>
            </w:r>
          </w:p>
        </w:tc>
        <w:tc>
          <w:tcPr>
            <w:tcW w:w="1327" w:type="dxa"/>
            <w:tcBorders>
              <w:left w:val="single" w:sz="4" w:space="0" w:color="BFBFBF" w:themeColor="background1" w:themeShade="BF"/>
              <w:bottom w:val="single" w:sz="4" w:space="0" w:color="BFBFBF" w:themeColor="background1" w:themeShade="BF"/>
            </w:tcBorders>
            <w:shd w:val="clear" w:color="auto" w:fill="FBD4B4" w:themeFill="accent6" w:themeFillTint="66"/>
            <w:noWrap/>
          </w:tcPr>
          <w:p w14:paraId="60C9BCEA" w14:textId="50593B0B"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71,538,998 </w:t>
            </w:r>
          </w:p>
        </w:tc>
        <w:tc>
          <w:tcPr>
            <w:tcW w:w="1576" w:type="dxa"/>
            <w:tcBorders>
              <w:bottom w:val="single" w:sz="4" w:space="0" w:color="BFBFBF" w:themeColor="background1" w:themeShade="BF"/>
            </w:tcBorders>
            <w:shd w:val="clear" w:color="auto" w:fill="FBD4B4" w:themeFill="accent6" w:themeFillTint="66"/>
            <w:noWrap/>
          </w:tcPr>
          <w:p w14:paraId="36614755" w14:textId="1522544D"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69,690,768 </w:t>
            </w:r>
          </w:p>
        </w:tc>
        <w:tc>
          <w:tcPr>
            <w:tcW w:w="1576" w:type="dxa"/>
            <w:tcBorders>
              <w:bottom w:val="single" w:sz="4" w:space="0" w:color="BFBFBF" w:themeColor="background1" w:themeShade="BF"/>
            </w:tcBorders>
            <w:shd w:val="clear" w:color="auto" w:fill="FBD4B4" w:themeFill="accent6" w:themeFillTint="66"/>
          </w:tcPr>
          <w:p w14:paraId="4CFA580D" w14:textId="28DAFFFA"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77,360,557</w:t>
            </w:r>
          </w:p>
        </w:tc>
        <w:tc>
          <w:tcPr>
            <w:tcW w:w="1576" w:type="dxa"/>
            <w:tcBorders>
              <w:bottom w:val="single" w:sz="4" w:space="0" w:color="BFBFBF" w:themeColor="background1" w:themeShade="BF"/>
            </w:tcBorders>
            <w:shd w:val="clear" w:color="auto" w:fill="FBD4B4" w:themeFill="accent6" w:themeFillTint="66"/>
            <w:noWrap/>
          </w:tcPr>
          <w:p w14:paraId="3B10D233" w14:textId="73693B44"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78,977,037</w:t>
            </w:r>
          </w:p>
        </w:tc>
        <w:tc>
          <w:tcPr>
            <w:tcW w:w="1576" w:type="dxa"/>
            <w:tcBorders>
              <w:bottom w:val="single" w:sz="4" w:space="0" w:color="BFBFBF" w:themeColor="background1" w:themeShade="BF"/>
            </w:tcBorders>
            <w:shd w:val="clear" w:color="auto" w:fill="FBD4B4" w:themeFill="accent6" w:themeFillTint="66"/>
          </w:tcPr>
          <w:p w14:paraId="0F5CC273" w14:textId="05E3E31E"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82,780,160</w:t>
            </w:r>
          </w:p>
        </w:tc>
      </w:tr>
      <w:tr w:rsidR="00584187" w:rsidRPr="00D302B5" w14:paraId="658A1D37" w14:textId="77777777" w:rsidTr="001C42F5">
        <w:trPr>
          <w:trHeight w:val="281"/>
          <w:jc w:val="center"/>
        </w:trPr>
        <w:tc>
          <w:tcPr>
            <w:tcW w:w="2971" w:type="dxa"/>
            <w:tcBorders>
              <w:top w:val="single" w:sz="4" w:space="0" w:color="BFBFBF" w:themeColor="background1" w:themeShade="BF"/>
              <w:right w:val="single" w:sz="4" w:space="0" w:color="BFBFBF" w:themeColor="background1" w:themeShade="BF"/>
            </w:tcBorders>
            <w:shd w:val="clear" w:color="auto" w:fill="D6E3BC" w:themeFill="accent3" w:themeFillTint="66"/>
            <w:noWrap/>
            <w:vAlign w:val="bottom"/>
          </w:tcPr>
          <w:p w14:paraId="32029751" w14:textId="77777777" w:rsidR="00584187" w:rsidRPr="00D302B5" w:rsidRDefault="00584187" w:rsidP="00584187">
            <w:pPr>
              <w:rPr>
                <w:rFonts w:ascii="Calibri" w:eastAsia="Times New Roman" w:hAnsi="Calibri" w:cs="Arial"/>
                <w:sz w:val="18"/>
                <w:szCs w:val="18"/>
              </w:rPr>
            </w:pPr>
            <w:r w:rsidRPr="00D302B5">
              <w:rPr>
                <w:rFonts w:ascii="Calibri" w:eastAsia="Times New Roman" w:hAnsi="Calibri" w:cs="Arial"/>
                <w:sz w:val="18"/>
                <w:szCs w:val="18"/>
              </w:rPr>
              <w:t>Golden  West</w:t>
            </w:r>
          </w:p>
        </w:tc>
        <w:tc>
          <w:tcPr>
            <w:tcW w:w="1327" w:type="dxa"/>
            <w:tcBorders>
              <w:top w:val="single" w:sz="4" w:space="0" w:color="BFBFBF" w:themeColor="background1" w:themeShade="BF"/>
              <w:left w:val="single" w:sz="4" w:space="0" w:color="BFBFBF" w:themeColor="background1" w:themeShade="BF"/>
            </w:tcBorders>
            <w:shd w:val="clear" w:color="auto" w:fill="D6E3BC" w:themeFill="accent3" w:themeFillTint="66"/>
            <w:noWrap/>
          </w:tcPr>
          <w:p w14:paraId="2873D592" w14:textId="380F8BD6"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11.13%</w:t>
            </w:r>
          </w:p>
        </w:tc>
        <w:tc>
          <w:tcPr>
            <w:tcW w:w="1576" w:type="dxa"/>
            <w:tcBorders>
              <w:top w:val="single" w:sz="4" w:space="0" w:color="BFBFBF" w:themeColor="background1" w:themeShade="BF"/>
            </w:tcBorders>
            <w:shd w:val="clear" w:color="auto" w:fill="D6E3BC" w:themeFill="accent3" w:themeFillTint="66"/>
            <w:noWrap/>
          </w:tcPr>
          <w:p w14:paraId="7ED4FF07" w14:textId="5962F9B4"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10.24%</w:t>
            </w:r>
          </w:p>
        </w:tc>
        <w:tc>
          <w:tcPr>
            <w:tcW w:w="1576" w:type="dxa"/>
            <w:tcBorders>
              <w:top w:val="single" w:sz="4" w:space="0" w:color="BFBFBF" w:themeColor="background1" w:themeShade="BF"/>
            </w:tcBorders>
            <w:shd w:val="clear" w:color="auto" w:fill="D6E3BC" w:themeFill="accent3" w:themeFillTint="66"/>
          </w:tcPr>
          <w:p w14:paraId="4C48AA33" w14:textId="6B04DE9C"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8.79%</w:t>
            </w:r>
          </w:p>
        </w:tc>
        <w:tc>
          <w:tcPr>
            <w:tcW w:w="1576" w:type="dxa"/>
            <w:tcBorders>
              <w:top w:val="single" w:sz="4" w:space="0" w:color="BFBFBF" w:themeColor="background1" w:themeShade="BF"/>
            </w:tcBorders>
            <w:shd w:val="clear" w:color="auto" w:fill="D6E3BC" w:themeFill="accent3" w:themeFillTint="66"/>
            <w:noWrap/>
          </w:tcPr>
          <w:p w14:paraId="1AB64DB5" w14:textId="1C3889C0"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6.22%</w:t>
            </w:r>
          </w:p>
        </w:tc>
        <w:tc>
          <w:tcPr>
            <w:tcW w:w="1576" w:type="dxa"/>
            <w:tcBorders>
              <w:top w:val="single" w:sz="4" w:space="0" w:color="BFBFBF" w:themeColor="background1" w:themeShade="BF"/>
            </w:tcBorders>
            <w:shd w:val="clear" w:color="auto" w:fill="D6E3BC" w:themeFill="accent3" w:themeFillTint="66"/>
          </w:tcPr>
          <w:p w14:paraId="5ECFD0CC" w14:textId="5954FC44"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3.82%</w:t>
            </w:r>
          </w:p>
        </w:tc>
      </w:tr>
      <w:tr w:rsidR="00584187" w:rsidRPr="00D302B5" w14:paraId="5D529691" w14:textId="77777777" w:rsidTr="001C42F5">
        <w:trPr>
          <w:trHeight w:val="281"/>
          <w:jc w:val="center"/>
        </w:trPr>
        <w:tc>
          <w:tcPr>
            <w:tcW w:w="2971" w:type="dxa"/>
            <w:tcBorders>
              <w:right w:val="single" w:sz="4" w:space="0" w:color="BFBFBF" w:themeColor="background1" w:themeShade="BF"/>
            </w:tcBorders>
            <w:shd w:val="clear" w:color="auto" w:fill="D6E3BC" w:themeFill="accent3" w:themeFillTint="66"/>
            <w:noWrap/>
            <w:vAlign w:val="bottom"/>
          </w:tcPr>
          <w:p w14:paraId="7E8FB186"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Fund Balance</w:t>
            </w:r>
          </w:p>
        </w:tc>
        <w:tc>
          <w:tcPr>
            <w:tcW w:w="1327" w:type="dxa"/>
            <w:tcBorders>
              <w:left w:val="single" w:sz="4" w:space="0" w:color="BFBFBF" w:themeColor="background1" w:themeShade="BF"/>
            </w:tcBorders>
            <w:shd w:val="clear" w:color="auto" w:fill="D6E3BC" w:themeFill="accent3" w:themeFillTint="66"/>
            <w:noWrap/>
          </w:tcPr>
          <w:p w14:paraId="699A6D1E" w14:textId="408D873F"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4,706,012 </w:t>
            </w:r>
          </w:p>
        </w:tc>
        <w:tc>
          <w:tcPr>
            <w:tcW w:w="1576" w:type="dxa"/>
            <w:shd w:val="clear" w:color="auto" w:fill="D6E3BC" w:themeFill="accent3" w:themeFillTint="66"/>
            <w:noWrap/>
          </w:tcPr>
          <w:p w14:paraId="64591973" w14:textId="26FBE740"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4,367,775 </w:t>
            </w:r>
          </w:p>
        </w:tc>
        <w:tc>
          <w:tcPr>
            <w:tcW w:w="1576" w:type="dxa"/>
            <w:shd w:val="clear" w:color="auto" w:fill="D6E3BC" w:themeFill="accent3" w:themeFillTint="66"/>
          </w:tcPr>
          <w:p w14:paraId="49322CCA" w14:textId="347ED978"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3,879,396</w:t>
            </w:r>
          </w:p>
        </w:tc>
        <w:tc>
          <w:tcPr>
            <w:tcW w:w="1576" w:type="dxa"/>
            <w:shd w:val="clear" w:color="auto" w:fill="D6E3BC" w:themeFill="accent3" w:themeFillTint="66"/>
            <w:noWrap/>
          </w:tcPr>
          <w:p w14:paraId="24ED1D52" w14:textId="4CC2213F"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2,944,409</w:t>
            </w:r>
          </w:p>
        </w:tc>
        <w:tc>
          <w:tcPr>
            <w:tcW w:w="1576" w:type="dxa"/>
            <w:shd w:val="clear" w:color="auto" w:fill="D6E3BC" w:themeFill="accent3" w:themeFillTint="66"/>
          </w:tcPr>
          <w:p w14:paraId="378AA7C2" w14:textId="6E284D75"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1,982,627</w:t>
            </w:r>
          </w:p>
        </w:tc>
      </w:tr>
      <w:tr w:rsidR="00584187" w:rsidRPr="00D302B5" w14:paraId="314BD4D2" w14:textId="77777777" w:rsidTr="001C42F5">
        <w:trPr>
          <w:trHeight w:val="281"/>
          <w:jc w:val="center"/>
        </w:trPr>
        <w:tc>
          <w:tcPr>
            <w:tcW w:w="2971" w:type="dxa"/>
            <w:tcBorders>
              <w:bottom w:val="single" w:sz="4" w:space="0" w:color="BFBFBF" w:themeColor="background1" w:themeShade="BF"/>
              <w:right w:val="single" w:sz="4" w:space="0" w:color="BFBFBF" w:themeColor="background1" w:themeShade="BF"/>
            </w:tcBorders>
            <w:shd w:val="clear" w:color="auto" w:fill="D6E3BC" w:themeFill="accent3" w:themeFillTint="66"/>
            <w:noWrap/>
            <w:vAlign w:val="bottom"/>
          </w:tcPr>
          <w:p w14:paraId="44671164"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Unrestricted Expenses</w:t>
            </w:r>
          </w:p>
        </w:tc>
        <w:tc>
          <w:tcPr>
            <w:tcW w:w="1327" w:type="dxa"/>
            <w:tcBorders>
              <w:left w:val="single" w:sz="4" w:space="0" w:color="BFBFBF" w:themeColor="background1" w:themeShade="BF"/>
              <w:bottom w:val="single" w:sz="4" w:space="0" w:color="BFBFBF" w:themeColor="background1" w:themeShade="BF"/>
            </w:tcBorders>
            <w:shd w:val="clear" w:color="auto" w:fill="D6E3BC" w:themeFill="accent3" w:themeFillTint="66"/>
            <w:noWrap/>
          </w:tcPr>
          <w:p w14:paraId="41130591" w14:textId="78F21197"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42,294,979 </w:t>
            </w:r>
          </w:p>
        </w:tc>
        <w:tc>
          <w:tcPr>
            <w:tcW w:w="1576" w:type="dxa"/>
            <w:tcBorders>
              <w:bottom w:val="single" w:sz="4" w:space="0" w:color="BFBFBF" w:themeColor="background1" w:themeShade="BF"/>
            </w:tcBorders>
            <w:shd w:val="clear" w:color="auto" w:fill="D6E3BC" w:themeFill="accent3" w:themeFillTint="66"/>
            <w:noWrap/>
          </w:tcPr>
          <w:p w14:paraId="11C95628" w14:textId="191ECE41"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42,642,327 </w:t>
            </w:r>
          </w:p>
        </w:tc>
        <w:tc>
          <w:tcPr>
            <w:tcW w:w="1576" w:type="dxa"/>
            <w:tcBorders>
              <w:bottom w:val="single" w:sz="4" w:space="0" w:color="BFBFBF" w:themeColor="background1" w:themeShade="BF"/>
            </w:tcBorders>
            <w:shd w:val="clear" w:color="auto" w:fill="D6E3BC" w:themeFill="accent3" w:themeFillTint="66"/>
          </w:tcPr>
          <w:p w14:paraId="73FB0522" w14:textId="73C9A66B"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44,141,663</w:t>
            </w:r>
          </w:p>
        </w:tc>
        <w:tc>
          <w:tcPr>
            <w:tcW w:w="1576" w:type="dxa"/>
            <w:tcBorders>
              <w:bottom w:val="single" w:sz="4" w:space="0" w:color="BFBFBF" w:themeColor="background1" w:themeShade="BF"/>
            </w:tcBorders>
            <w:shd w:val="clear" w:color="auto" w:fill="D6E3BC" w:themeFill="accent3" w:themeFillTint="66"/>
            <w:noWrap/>
          </w:tcPr>
          <w:p w14:paraId="0000E9EF" w14:textId="628EF6CB"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47,352,550</w:t>
            </w:r>
          </w:p>
        </w:tc>
        <w:tc>
          <w:tcPr>
            <w:tcW w:w="1576" w:type="dxa"/>
            <w:tcBorders>
              <w:bottom w:val="single" w:sz="4" w:space="0" w:color="BFBFBF" w:themeColor="background1" w:themeShade="BF"/>
            </w:tcBorders>
            <w:shd w:val="clear" w:color="auto" w:fill="D6E3BC" w:themeFill="accent3" w:themeFillTint="66"/>
          </w:tcPr>
          <w:p w14:paraId="3E1B1D9D" w14:textId="3F5950A1"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51,958,614</w:t>
            </w:r>
          </w:p>
        </w:tc>
      </w:tr>
      <w:tr w:rsidR="00584187" w:rsidRPr="00D302B5" w14:paraId="3BCA924F" w14:textId="77777777" w:rsidTr="001C42F5">
        <w:trPr>
          <w:trHeight w:val="281"/>
          <w:jc w:val="center"/>
        </w:trPr>
        <w:tc>
          <w:tcPr>
            <w:tcW w:w="2971" w:type="dxa"/>
            <w:tcBorders>
              <w:top w:val="single" w:sz="4" w:space="0" w:color="BFBFBF" w:themeColor="background1" w:themeShade="BF"/>
              <w:right w:val="single" w:sz="4" w:space="0" w:color="BFBFBF" w:themeColor="background1" w:themeShade="BF"/>
            </w:tcBorders>
            <w:shd w:val="clear" w:color="auto" w:fill="DBE5F1" w:themeFill="accent1" w:themeFillTint="33"/>
            <w:noWrap/>
            <w:vAlign w:val="bottom"/>
          </w:tcPr>
          <w:p w14:paraId="45305A2D" w14:textId="77777777" w:rsidR="00584187" w:rsidRPr="00D302B5" w:rsidRDefault="00584187" w:rsidP="00584187">
            <w:pPr>
              <w:rPr>
                <w:rFonts w:ascii="Calibri" w:eastAsia="Times New Roman" w:hAnsi="Calibri" w:cs="Arial"/>
                <w:sz w:val="18"/>
                <w:szCs w:val="18"/>
              </w:rPr>
            </w:pPr>
            <w:r w:rsidRPr="00D302B5">
              <w:rPr>
                <w:rFonts w:ascii="Calibri" w:eastAsia="Times New Roman" w:hAnsi="Calibri" w:cs="Arial"/>
                <w:sz w:val="18"/>
                <w:szCs w:val="18"/>
              </w:rPr>
              <w:t>Coastline</w:t>
            </w:r>
          </w:p>
        </w:tc>
        <w:tc>
          <w:tcPr>
            <w:tcW w:w="1327" w:type="dxa"/>
            <w:tcBorders>
              <w:top w:val="single" w:sz="4" w:space="0" w:color="BFBFBF" w:themeColor="background1" w:themeShade="BF"/>
              <w:left w:val="single" w:sz="4" w:space="0" w:color="BFBFBF" w:themeColor="background1" w:themeShade="BF"/>
            </w:tcBorders>
            <w:shd w:val="clear" w:color="auto" w:fill="DBE5F1" w:themeFill="accent1" w:themeFillTint="33"/>
            <w:noWrap/>
          </w:tcPr>
          <w:p w14:paraId="6B003AAD" w14:textId="5DE823CF"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9.40%</w:t>
            </w:r>
          </w:p>
        </w:tc>
        <w:tc>
          <w:tcPr>
            <w:tcW w:w="1576" w:type="dxa"/>
            <w:tcBorders>
              <w:top w:val="single" w:sz="4" w:space="0" w:color="BFBFBF" w:themeColor="background1" w:themeShade="BF"/>
            </w:tcBorders>
            <w:shd w:val="clear" w:color="auto" w:fill="DBE5F1" w:themeFill="accent1" w:themeFillTint="33"/>
            <w:noWrap/>
          </w:tcPr>
          <w:p w14:paraId="02D7DFE2" w14:textId="3A380C84"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13.50%</w:t>
            </w:r>
          </w:p>
        </w:tc>
        <w:tc>
          <w:tcPr>
            <w:tcW w:w="1576" w:type="dxa"/>
            <w:tcBorders>
              <w:top w:val="single" w:sz="4" w:space="0" w:color="BFBFBF" w:themeColor="background1" w:themeShade="BF"/>
            </w:tcBorders>
            <w:shd w:val="clear" w:color="auto" w:fill="DBE5F1" w:themeFill="accent1" w:themeFillTint="33"/>
          </w:tcPr>
          <w:p w14:paraId="2EB49D45" w14:textId="59504057"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9.30%</w:t>
            </w:r>
          </w:p>
        </w:tc>
        <w:tc>
          <w:tcPr>
            <w:tcW w:w="1576" w:type="dxa"/>
            <w:tcBorders>
              <w:top w:val="single" w:sz="4" w:space="0" w:color="BFBFBF" w:themeColor="background1" w:themeShade="BF"/>
            </w:tcBorders>
            <w:shd w:val="clear" w:color="auto" w:fill="DBE5F1" w:themeFill="accent1" w:themeFillTint="33"/>
            <w:noWrap/>
          </w:tcPr>
          <w:p w14:paraId="62023470" w14:textId="6A208218"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7.32%</w:t>
            </w:r>
          </w:p>
        </w:tc>
        <w:tc>
          <w:tcPr>
            <w:tcW w:w="1576" w:type="dxa"/>
            <w:tcBorders>
              <w:top w:val="single" w:sz="4" w:space="0" w:color="BFBFBF" w:themeColor="background1" w:themeShade="BF"/>
            </w:tcBorders>
            <w:shd w:val="clear" w:color="auto" w:fill="DBE5F1" w:themeFill="accent1" w:themeFillTint="33"/>
          </w:tcPr>
          <w:p w14:paraId="09A28B67" w14:textId="15AC30E7"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7.55%</w:t>
            </w:r>
          </w:p>
        </w:tc>
      </w:tr>
      <w:tr w:rsidR="00584187" w:rsidRPr="00D302B5" w14:paraId="6C48A02F" w14:textId="77777777" w:rsidTr="001C42F5">
        <w:trPr>
          <w:trHeight w:val="281"/>
          <w:jc w:val="center"/>
        </w:trPr>
        <w:tc>
          <w:tcPr>
            <w:tcW w:w="2971" w:type="dxa"/>
            <w:tcBorders>
              <w:right w:val="single" w:sz="4" w:space="0" w:color="BFBFBF" w:themeColor="background1" w:themeShade="BF"/>
            </w:tcBorders>
            <w:shd w:val="clear" w:color="auto" w:fill="DBE5F1" w:themeFill="accent1" w:themeFillTint="33"/>
            <w:noWrap/>
            <w:vAlign w:val="bottom"/>
          </w:tcPr>
          <w:p w14:paraId="655BBAC3"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Fund Balance</w:t>
            </w:r>
          </w:p>
        </w:tc>
        <w:tc>
          <w:tcPr>
            <w:tcW w:w="1327" w:type="dxa"/>
            <w:tcBorders>
              <w:left w:val="single" w:sz="4" w:space="0" w:color="BFBFBF" w:themeColor="background1" w:themeShade="BF"/>
            </w:tcBorders>
            <w:shd w:val="clear" w:color="auto" w:fill="DBE5F1" w:themeFill="accent1" w:themeFillTint="33"/>
            <w:noWrap/>
          </w:tcPr>
          <w:p w14:paraId="0B18B16C" w14:textId="345F266A"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2,150,411 </w:t>
            </w:r>
          </w:p>
        </w:tc>
        <w:tc>
          <w:tcPr>
            <w:tcW w:w="1576" w:type="dxa"/>
            <w:shd w:val="clear" w:color="auto" w:fill="DBE5F1" w:themeFill="accent1" w:themeFillTint="33"/>
            <w:noWrap/>
          </w:tcPr>
          <w:p w14:paraId="4D5B22E6" w14:textId="6C9D7363"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3,028,405 </w:t>
            </w:r>
          </w:p>
        </w:tc>
        <w:tc>
          <w:tcPr>
            <w:tcW w:w="1576" w:type="dxa"/>
            <w:shd w:val="clear" w:color="auto" w:fill="DBE5F1" w:themeFill="accent1" w:themeFillTint="33"/>
          </w:tcPr>
          <w:p w14:paraId="3C56A0E8" w14:textId="64D13687"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2,251,989</w:t>
            </w:r>
          </w:p>
        </w:tc>
        <w:tc>
          <w:tcPr>
            <w:tcW w:w="1576" w:type="dxa"/>
            <w:shd w:val="clear" w:color="auto" w:fill="DBE5F1" w:themeFill="accent1" w:themeFillTint="33"/>
            <w:noWrap/>
          </w:tcPr>
          <w:p w14:paraId="6267A578" w14:textId="47660D19"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1,968,591</w:t>
            </w:r>
          </w:p>
        </w:tc>
        <w:tc>
          <w:tcPr>
            <w:tcW w:w="1576" w:type="dxa"/>
            <w:shd w:val="clear" w:color="auto" w:fill="DBE5F1" w:themeFill="accent1" w:themeFillTint="33"/>
          </w:tcPr>
          <w:p w14:paraId="3D43C77B" w14:textId="2EB99D0B"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2,180,106</w:t>
            </w:r>
          </w:p>
        </w:tc>
      </w:tr>
      <w:tr w:rsidR="00584187" w:rsidRPr="00D302B5" w14:paraId="36C2ACB8" w14:textId="77777777" w:rsidTr="001C42F5">
        <w:trPr>
          <w:trHeight w:val="281"/>
          <w:jc w:val="center"/>
        </w:trPr>
        <w:tc>
          <w:tcPr>
            <w:tcW w:w="2971" w:type="dxa"/>
            <w:tcBorders>
              <w:bottom w:val="single" w:sz="4" w:space="0" w:color="BFBFBF" w:themeColor="background1" w:themeShade="BF"/>
              <w:right w:val="single" w:sz="4" w:space="0" w:color="BFBFBF" w:themeColor="background1" w:themeShade="BF"/>
            </w:tcBorders>
            <w:shd w:val="clear" w:color="auto" w:fill="DBE5F1" w:themeFill="accent1" w:themeFillTint="33"/>
            <w:noWrap/>
            <w:vAlign w:val="bottom"/>
          </w:tcPr>
          <w:p w14:paraId="3936177F"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Unrestricted Expenses</w:t>
            </w:r>
          </w:p>
        </w:tc>
        <w:tc>
          <w:tcPr>
            <w:tcW w:w="1327" w:type="dxa"/>
            <w:tcBorders>
              <w:left w:val="single" w:sz="4" w:space="0" w:color="BFBFBF" w:themeColor="background1" w:themeShade="BF"/>
              <w:bottom w:val="single" w:sz="4" w:space="0" w:color="BFBFBF" w:themeColor="background1" w:themeShade="BF"/>
            </w:tcBorders>
            <w:shd w:val="clear" w:color="auto" w:fill="DBE5F1" w:themeFill="accent1" w:themeFillTint="33"/>
            <w:noWrap/>
          </w:tcPr>
          <w:p w14:paraId="6B3036AE" w14:textId="0326FDE4"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22,877,752 </w:t>
            </w:r>
          </w:p>
        </w:tc>
        <w:tc>
          <w:tcPr>
            <w:tcW w:w="1576" w:type="dxa"/>
            <w:tcBorders>
              <w:bottom w:val="single" w:sz="4" w:space="0" w:color="BFBFBF" w:themeColor="background1" w:themeShade="BF"/>
            </w:tcBorders>
            <w:shd w:val="clear" w:color="auto" w:fill="DBE5F1" w:themeFill="accent1" w:themeFillTint="33"/>
            <w:noWrap/>
          </w:tcPr>
          <w:p w14:paraId="33AE9F5B" w14:textId="73622510"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22,433,126 </w:t>
            </w:r>
          </w:p>
        </w:tc>
        <w:tc>
          <w:tcPr>
            <w:tcW w:w="1576" w:type="dxa"/>
            <w:tcBorders>
              <w:bottom w:val="single" w:sz="4" w:space="0" w:color="BFBFBF" w:themeColor="background1" w:themeShade="BF"/>
            </w:tcBorders>
            <w:shd w:val="clear" w:color="auto" w:fill="DBE5F1" w:themeFill="accent1" w:themeFillTint="33"/>
          </w:tcPr>
          <w:p w14:paraId="4D24407F" w14:textId="5EADE6D8"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24,211,087</w:t>
            </w:r>
          </w:p>
        </w:tc>
        <w:tc>
          <w:tcPr>
            <w:tcW w:w="1576" w:type="dxa"/>
            <w:tcBorders>
              <w:bottom w:val="single" w:sz="4" w:space="0" w:color="BFBFBF" w:themeColor="background1" w:themeShade="BF"/>
            </w:tcBorders>
            <w:shd w:val="clear" w:color="auto" w:fill="DBE5F1" w:themeFill="accent1" w:themeFillTint="33"/>
            <w:noWrap/>
          </w:tcPr>
          <w:p w14:paraId="02CB2B32" w14:textId="046433EB"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26,910,695</w:t>
            </w:r>
          </w:p>
        </w:tc>
        <w:tc>
          <w:tcPr>
            <w:tcW w:w="1576" w:type="dxa"/>
            <w:tcBorders>
              <w:bottom w:val="single" w:sz="4" w:space="0" w:color="BFBFBF" w:themeColor="background1" w:themeShade="BF"/>
            </w:tcBorders>
            <w:shd w:val="clear" w:color="auto" w:fill="DBE5F1" w:themeFill="accent1" w:themeFillTint="33"/>
          </w:tcPr>
          <w:p w14:paraId="4744D596" w14:textId="7890CFD5"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28,870,764</w:t>
            </w:r>
          </w:p>
        </w:tc>
      </w:tr>
      <w:tr w:rsidR="00584187" w:rsidRPr="00D302B5" w14:paraId="55A9E5F1" w14:textId="77777777" w:rsidTr="001C42F5">
        <w:trPr>
          <w:trHeight w:val="281"/>
          <w:jc w:val="center"/>
        </w:trPr>
        <w:tc>
          <w:tcPr>
            <w:tcW w:w="2971" w:type="dxa"/>
            <w:tcBorders>
              <w:top w:val="single" w:sz="4" w:space="0" w:color="BFBFBF" w:themeColor="background1" w:themeShade="BF"/>
              <w:right w:val="single" w:sz="4" w:space="0" w:color="BFBFBF" w:themeColor="background1" w:themeShade="BF"/>
            </w:tcBorders>
            <w:shd w:val="clear" w:color="auto" w:fill="auto"/>
            <w:noWrap/>
            <w:vAlign w:val="bottom"/>
          </w:tcPr>
          <w:p w14:paraId="6568D56D" w14:textId="77777777" w:rsidR="00584187" w:rsidRPr="00D302B5" w:rsidRDefault="00584187" w:rsidP="00584187">
            <w:pPr>
              <w:rPr>
                <w:rFonts w:ascii="Calibri" w:eastAsia="Times New Roman" w:hAnsi="Calibri" w:cs="Arial"/>
                <w:sz w:val="18"/>
                <w:szCs w:val="18"/>
              </w:rPr>
            </w:pPr>
            <w:r w:rsidRPr="00D302B5">
              <w:rPr>
                <w:rFonts w:ascii="Calibri" w:eastAsia="Times New Roman" w:hAnsi="Calibri" w:cs="Arial"/>
                <w:sz w:val="18"/>
                <w:szCs w:val="18"/>
              </w:rPr>
              <w:t>Admin 6 (District Office, Admin 9 &amp; 6)</w:t>
            </w:r>
          </w:p>
        </w:tc>
        <w:tc>
          <w:tcPr>
            <w:tcW w:w="1327" w:type="dxa"/>
            <w:tcBorders>
              <w:top w:val="single" w:sz="4" w:space="0" w:color="BFBFBF" w:themeColor="background1" w:themeShade="BF"/>
              <w:left w:val="single" w:sz="4" w:space="0" w:color="BFBFBF" w:themeColor="background1" w:themeShade="BF"/>
            </w:tcBorders>
            <w:shd w:val="clear" w:color="auto" w:fill="auto"/>
            <w:noWrap/>
          </w:tcPr>
          <w:p w14:paraId="01D0947D" w14:textId="1156C700"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82.30%</w:t>
            </w:r>
          </w:p>
        </w:tc>
        <w:tc>
          <w:tcPr>
            <w:tcW w:w="1576" w:type="dxa"/>
            <w:tcBorders>
              <w:top w:val="single" w:sz="4" w:space="0" w:color="BFBFBF" w:themeColor="background1" w:themeShade="BF"/>
            </w:tcBorders>
            <w:shd w:val="clear" w:color="auto" w:fill="auto"/>
            <w:noWrap/>
          </w:tcPr>
          <w:p w14:paraId="39DD2360" w14:textId="77B7875C"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53.80%</w:t>
            </w:r>
          </w:p>
        </w:tc>
        <w:tc>
          <w:tcPr>
            <w:tcW w:w="1576" w:type="dxa"/>
            <w:tcBorders>
              <w:top w:val="single" w:sz="4" w:space="0" w:color="BFBFBF" w:themeColor="background1" w:themeShade="BF"/>
            </w:tcBorders>
            <w:shd w:val="clear" w:color="auto" w:fill="auto"/>
          </w:tcPr>
          <w:p w14:paraId="73A2FAE8" w14:textId="251DA86D"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50.89%</w:t>
            </w:r>
          </w:p>
        </w:tc>
        <w:tc>
          <w:tcPr>
            <w:tcW w:w="1576" w:type="dxa"/>
            <w:tcBorders>
              <w:top w:val="single" w:sz="4" w:space="0" w:color="BFBFBF" w:themeColor="background1" w:themeShade="BF"/>
            </w:tcBorders>
            <w:shd w:val="clear" w:color="auto" w:fill="auto"/>
            <w:noWrap/>
          </w:tcPr>
          <w:p w14:paraId="4E808FBD" w14:textId="2A3C3E49"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63.38%</w:t>
            </w:r>
          </w:p>
        </w:tc>
        <w:tc>
          <w:tcPr>
            <w:tcW w:w="1576" w:type="dxa"/>
            <w:tcBorders>
              <w:top w:val="single" w:sz="4" w:space="0" w:color="BFBFBF" w:themeColor="background1" w:themeShade="BF"/>
            </w:tcBorders>
            <w:shd w:val="clear" w:color="auto" w:fill="auto"/>
          </w:tcPr>
          <w:p w14:paraId="3517306F" w14:textId="2BF1B48B"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55.65%</w:t>
            </w:r>
          </w:p>
        </w:tc>
      </w:tr>
      <w:tr w:rsidR="00584187" w:rsidRPr="00D302B5" w14:paraId="56EE20F8" w14:textId="77777777" w:rsidTr="001C42F5">
        <w:trPr>
          <w:trHeight w:val="281"/>
          <w:jc w:val="center"/>
        </w:trPr>
        <w:tc>
          <w:tcPr>
            <w:tcW w:w="2971" w:type="dxa"/>
            <w:tcBorders>
              <w:right w:val="single" w:sz="4" w:space="0" w:color="BFBFBF" w:themeColor="background1" w:themeShade="BF"/>
            </w:tcBorders>
            <w:shd w:val="clear" w:color="auto" w:fill="auto"/>
            <w:noWrap/>
            <w:vAlign w:val="bottom"/>
          </w:tcPr>
          <w:p w14:paraId="71E743A9"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Fund Balance</w:t>
            </w:r>
          </w:p>
        </w:tc>
        <w:tc>
          <w:tcPr>
            <w:tcW w:w="1327" w:type="dxa"/>
            <w:tcBorders>
              <w:left w:val="single" w:sz="4" w:space="0" w:color="BFBFBF" w:themeColor="background1" w:themeShade="BF"/>
            </w:tcBorders>
            <w:shd w:val="clear" w:color="auto" w:fill="auto"/>
            <w:noWrap/>
          </w:tcPr>
          <w:p w14:paraId="501BA6ED" w14:textId="5C5E12AB"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25,202,147 </w:t>
            </w:r>
          </w:p>
        </w:tc>
        <w:tc>
          <w:tcPr>
            <w:tcW w:w="1576" w:type="dxa"/>
            <w:shd w:val="clear" w:color="auto" w:fill="auto"/>
            <w:noWrap/>
          </w:tcPr>
          <w:p w14:paraId="4FDFA7BD" w14:textId="1478CF5A"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23,040,741 </w:t>
            </w:r>
          </w:p>
        </w:tc>
        <w:tc>
          <w:tcPr>
            <w:tcW w:w="1576" w:type="dxa"/>
            <w:shd w:val="clear" w:color="auto" w:fill="auto"/>
          </w:tcPr>
          <w:p w14:paraId="5232EF1A" w14:textId="0F8BF0CF"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23,118,021</w:t>
            </w:r>
          </w:p>
        </w:tc>
        <w:tc>
          <w:tcPr>
            <w:tcW w:w="1576" w:type="dxa"/>
            <w:shd w:val="clear" w:color="auto" w:fill="auto"/>
            <w:noWrap/>
          </w:tcPr>
          <w:p w14:paraId="070B9270" w14:textId="0DCC767D"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37,663,658</w:t>
            </w:r>
          </w:p>
        </w:tc>
        <w:tc>
          <w:tcPr>
            <w:tcW w:w="1576" w:type="dxa"/>
            <w:shd w:val="clear" w:color="auto" w:fill="auto"/>
          </w:tcPr>
          <w:p w14:paraId="61FD8BEE" w14:textId="2A21EC5C"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31,303,114</w:t>
            </w:r>
          </w:p>
        </w:tc>
      </w:tr>
      <w:tr w:rsidR="00584187" w:rsidRPr="00D302B5" w14:paraId="063AB35A" w14:textId="77777777" w:rsidTr="001C42F5">
        <w:trPr>
          <w:trHeight w:val="70"/>
          <w:jc w:val="center"/>
        </w:trPr>
        <w:tc>
          <w:tcPr>
            <w:tcW w:w="2971" w:type="dxa"/>
            <w:tcBorders>
              <w:right w:val="single" w:sz="4" w:space="0" w:color="BFBFBF" w:themeColor="background1" w:themeShade="BF"/>
            </w:tcBorders>
            <w:shd w:val="clear" w:color="auto" w:fill="auto"/>
            <w:noWrap/>
            <w:vAlign w:val="bottom"/>
          </w:tcPr>
          <w:p w14:paraId="0873BF6F"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Unrestricted Expense=</w:t>
            </w:r>
          </w:p>
        </w:tc>
        <w:tc>
          <w:tcPr>
            <w:tcW w:w="1327" w:type="dxa"/>
            <w:tcBorders>
              <w:left w:val="single" w:sz="4" w:space="0" w:color="BFBFBF" w:themeColor="background1" w:themeShade="BF"/>
            </w:tcBorders>
            <w:shd w:val="clear" w:color="auto" w:fill="auto"/>
            <w:noWrap/>
          </w:tcPr>
          <w:p w14:paraId="5B83CA08" w14:textId="70ABC81F"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30,621,823 </w:t>
            </w:r>
          </w:p>
        </w:tc>
        <w:tc>
          <w:tcPr>
            <w:tcW w:w="1576" w:type="dxa"/>
            <w:shd w:val="clear" w:color="auto" w:fill="auto"/>
            <w:noWrap/>
          </w:tcPr>
          <w:p w14:paraId="69EA8466" w14:textId="0C3DD1A4" w:rsidR="00584187" w:rsidRPr="00D302B5" w:rsidRDefault="00584187" w:rsidP="00584187">
            <w:pPr>
              <w:jc w:val="center"/>
              <w:rPr>
                <w:rFonts w:ascii="Calibri" w:eastAsia="Times New Roman" w:hAnsi="Calibri" w:cs="Arial"/>
                <w:sz w:val="18"/>
                <w:szCs w:val="18"/>
              </w:rPr>
            </w:pPr>
            <w:r w:rsidRPr="00D302B5">
              <w:rPr>
                <w:rFonts w:ascii="Calibri" w:hAnsi="Calibri"/>
                <w:sz w:val="18"/>
                <w:szCs w:val="18"/>
              </w:rPr>
              <w:t xml:space="preserve"> 42,827,830 </w:t>
            </w:r>
          </w:p>
        </w:tc>
        <w:tc>
          <w:tcPr>
            <w:tcW w:w="1576" w:type="dxa"/>
            <w:shd w:val="clear" w:color="auto" w:fill="auto"/>
          </w:tcPr>
          <w:p w14:paraId="64E621AE" w14:textId="3163D2F4"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45,423,761</w:t>
            </w:r>
          </w:p>
        </w:tc>
        <w:tc>
          <w:tcPr>
            <w:tcW w:w="1576" w:type="dxa"/>
            <w:shd w:val="clear" w:color="auto" w:fill="auto"/>
            <w:noWrap/>
          </w:tcPr>
          <w:p w14:paraId="6BA70E3D" w14:textId="789A8B77" w:rsidR="00584187" w:rsidRPr="00D302B5" w:rsidRDefault="00584187" w:rsidP="00584187">
            <w:pPr>
              <w:jc w:val="center"/>
              <w:rPr>
                <w:rFonts w:ascii="Calibri" w:eastAsia="Times New Roman" w:hAnsi="Calibri" w:cs="Arial"/>
                <w:sz w:val="18"/>
                <w:szCs w:val="18"/>
              </w:rPr>
            </w:pPr>
            <w:r w:rsidRPr="00D302B5">
              <w:rPr>
                <w:rFonts w:ascii="Calibri" w:eastAsia="Times New Roman" w:hAnsi="Calibri" w:cs="Arial"/>
                <w:sz w:val="18"/>
                <w:szCs w:val="18"/>
              </w:rPr>
              <w:t>59,423,555</w:t>
            </w:r>
          </w:p>
        </w:tc>
        <w:tc>
          <w:tcPr>
            <w:tcW w:w="1576" w:type="dxa"/>
            <w:shd w:val="clear" w:color="auto" w:fill="auto"/>
          </w:tcPr>
          <w:p w14:paraId="02DA27EF" w14:textId="22BD7899" w:rsidR="00584187" w:rsidRPr="00D302B5" w:rsidRDefault="006E3A73" w:rsidP="00584187">
            <w:pPr>
              <w:jc w:val="center"/>
              <w:rPr>
                <w:rFonts w:ascii="Calibri" w:eastAsia="Times New Roman" w:hAnsi="Calibri" w:cs="Arial"/>
                <w:sz w:val="18"/>
                <w:szCs w:val="18"/>
              </w:rPr>
            </w:pPr>
            <w:r>
              <w:rPr>
                <w:rFonts w:ascii="Calibri" w:eastAsia="Times New Roman" w:hAnsi="Calibri" w:cs="Arial"/>
                <w:sz w:val="18"/>
                <w:szCs w:val="18"/>
              </w:rPr>
              <w:t>28,870,764</w:t>
            </w:r>
          </w:p>
        </w:tc>
      </w:tr>
      <w:tr w:rsidR="00584187" w:rsidRPr="00D302B5" w14:paraId="54115A71" w14:textId="77777777" w:rsidTr="001C42F5">
        <w:trPr>
          <w:trHeight w:val="70"/>
          <w:jc w:val="center"/>
        </w:trPr>
        <w:tc>
          <w:tcPr>
            <w:tcW w:w="2971" w:type="dxa"/>
            <w:tcBorders>
              <w:right w:val="single" w:sz="4" w:space="0" w:color="BFBFBF" w:themeColor="background1" w:themeShade="BF"/>
            </w:tcBorders>
            <w:shd w:val="clear" w:color="auto" w:fill="D9D9D9" w:themeFill="background1" w:themeFillShade="D9"/>
            <w:noWrap/>
            <w:vAlign w:val="bottom"/>
          </w:tcPr>
          <w:p w14:paraId="14FF27AB" w14:textId="77777777" w:rsidR="00584187" w:rsidRPr="00D302B5" w:rsidRDefault="00584187" w:rsidP="00584187">
            <w:pPr>
              <w:rPr>
                <w:rFonts w:ascii="Calibri" w:eastAsia="Times New Roman" w:hAnsi="Calibri" w:cs="Arial"/>
                <w:sz w:val="18"/>
                <w:szCs w:val="18"/>
              </w:rPr>
            </w:pPr>
            <w:r w:rsidRPr="00D302B5">
              <w:rPr>
                <w:rFonts w:ascii="Calibri" w:eastAsia="Times New Roman" w:hAnsi="Calibri" w:cs="Arial"/>
                <w:sz w:val="18"/>
                <w:szCs w:val="18"/>
              </w:rPr>
              <w:t>District-wide  Total</w:t>
            </w:r>
          </w:p>
        </w:tc>
        <w:tc>
          <w:tcPr>
            <w:tcW w:w="1327" w:type="dxa"/>
            <w:tcBorders>
              <w:left w:val="single" w:sz="4" w:space="0" w:color="BFBFBF" w:themeColor="background1" w:themeShade="BF"/>
            </w:tcBorders>
            <w:shd w:val="clear" w:color="auto" w:fill="D9D9D9" w:themeFill="background1" w:themeFillShade="D9"/>
            <w:noWrap/>
          </w:tcPr>
          <w:p w14:paraId="1BA1766C" w14:textId="074C9F01" w:rsidR="00584187" w:rsidRPr="00D302B5" w:rsidRDefault="00584187" w:rsidP="00584187">
            <w:pPr>
              <w:jc w:val="center"/>
              <w:rPr>
                <w:rFonts w:ascii="Calibri" w:hAnsi="Calibri"/>
                <w:sz w:val="18"/>
                <w:szCs w:val="18"/>
              </w:rPr>
            </w:pPr>
            <w:r w:rsidRPr="00D302B5">
              <w:rPr>
                <w:rFonts w:ascii="Calibri" w:hAnsi="Calibri"/>
                <w:sz w:val="18"/>
                <w:szCs w:val="18"/>
              </w:rPr>
              <w:t>22.51%</w:t>
            </w:r>
          </w:p>
        </w:tc>
        <w:tc>
          <w:tcPr>
            <w:tcW w:w="1576" w:type="dxa"/>
            <w:shd w:val="clear" w:color="auto" w:fill="D9D9D9" w:themeFill="background1" w:themeFillShade="D9"/>
            <w:noWrap/>
          </w:tcPr>
          <w:p w14:paraId="1C48D761" w14:textId="44DBD2CE" w:rsidR="00584187" w:rsidRPr="00D302B5" w:rsidRDefault="00584187" w:rsidP="00584187">
            <w:pPr>
              <w:jc w:val="center"/>
              <w:rPr>
                <w:rFonts w:ascii="Calibri" w:hAnsi="Calibri"/>
                <w:sz w:val="18"/>
                <w:szCs w:val="18"/>
              </w:rPr>
            </w:pPr>
            <w:r w:rsidRPr="00D302B5">
              <w:rPr>
                <w:rFonts w:ascii="Calibri" w:hAnsi="Calibri"/>
                <w:sz w:val="18"/>
                <w:szCs w:val="18"/>
              </w:rPr>
              <w:t>21.64%</w:t>
            </w:r>
          </w:p>
        </w:tc>
        <w:tc>
          <w:tcPr>
            <w:tcW w:w="1576" w:type="dxa"/>
            <w:shd w:val="clear" w:color="auto" w:fill="D9D9D9" w:themeFill="background1" w:themeFillShade="D9"/>
          </w:tcPr>
          <w:p w14:paraId="317B60AB" w14:textId="7D347876" w:rsidR="00584187" w:rsidRPr="00D302B5" w:rsidRDefault="00584187" w:rsidP="00584187">
            <w:pPr>
              <w:jc w:val="center"/>
              <w:rPr>
                <w:rFonts w:ascii="Calibri" w:hAnsi="Calibri"/>
                <w:sz w:val="18"/>
                <w:szCs w:val="18"/>
              </w:rPr>
            </w:pPr>
            <w:r w:rsidRPr="00D302B5">
              <w:rPr>
                <w:rFonts w:ascii="Calibri" w:hAnsi="Calibri"/>
                <w:sz w:val="18"/>
                <w:szCs w:val="18"/>
              </w:rPr>
              <w:t>18.22%</w:t>
            </w:r>
          </w:p>
        </w:tc>
        <w:tc>
          <w:tcPr>
            <w:tcW w:w="1576" w:type="dxa"/>
            <w:shd w:val="clear" w:color="auto" w:fill="D9D9D9" w:themeFill="background1" w:themeFillShade="D9"/>
            <w:noWrap/>
          </w:tcPr>
          <w:p w14:paraId="653859B2" w14:textId="13390F0C" w:rsidR="00584187" w:rsidRPr="00D302B5" w:rsidRDefault="00584187" w:rsidP="00584187">
            <w:pPr>
              <w:jc w:val="center"/>
              <w:rPr>
                <w:rFonts w:ascii="Calibri" w:hAnsi="Calibri"/>
                <w:sz w:val="18"/>
                <w:szCs w:val="18"/>
              </w:rPr>
            </w:pPr>
            <w:r w:rsidRPr="00D302B5">
              <w:rPr>
                <w:rFonts w:ascii="Calibri" w:hAnsi="Calibri"/>
                <w:sz w:val="18"/>
                <w:szCs w:val="18"/>
              </w:rPr>
              <w:t>22.37%</w:t>
            </w:r>
          </w:p>
        </w:tc>
        <w:tc>
          <w:tcPr>
            <w:tcW w:w="1576" w:type="dxa"/>
            <w:shd w:val="clear" w:color="auto" w:fill="D9D9D9" w:themeFill="background1" w:themeFillShade="D9"/>
          </w:tcPr>
          <w:p w14:paraId="3DD5F47E" w14:textId="626911F1" w:rsidR="00584187" w:rsidRPr="00D302B5" w:rsidRDefault="007F1684" w:rsidP="00584187">
            <w:pPr>
              <w:jc w:val="center"/>
              <w:rPr>
                <w:rFonts w:ascii="Calibri" w:hAnsi="Calibri"/>
                <w:sz w:val="18"/>
                <w:szCs w:val="18"/>
              </w:rPr>
            </w:pPr>
            <w:r>
              <w:rPr>
                <w:rFonts w:ascii="Calibri" w:hAnsi="Calibri"/>
                <w:sz w:val="18"/>
                <w:szCs w:val="18"/>
              </w:rPr>
              <w:t>18.60%</w:t>
            </w:r>
          </w:p>
        </w:tc>
      </w:tr>
      <w:tr w:rsidR="00584187" w:rsidRPr="00D302B5" w14:paraId="5427BC76" w14:textId="77777777" w:rsidTr="001C42F5">
        <w:trPr>
          <w:trHeight w:val="70"/>
          <w:jc w:val="center"/>
        </w:trPr>
        <w:tc>
          <w:tcPr>
            <w:tcW w:w="2971" w:type="dxa"/>
            <w:tcBorders>
              <w:right w:val="single" w:sz="4" w:space="0" w:color="BFBFBF" w:themeColor="background1" w:themeShade="BF"/>
            </w:tcBorders>
            <w:shd w:val="clear" w:color="auto" w:fill="D9D9D9" w:themeFill="background1" w:themeFillShade="D9"/>
            <w:noWrap/>
            <w:vAlign w:val="bottom"/>
          </w:tcPr>
          <w:p w14:paraId="38C784A2"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Fund Balance =</w:t>
            </w:r>
          </w:p>
        </w:tc>
        <w:tc>
          <w:tcPr>
            <w:tcW w:w="1327" w:type="dxa"/>
            <w:tcBorders>
              <w:left w:val="single" w:sz="4" w:space="0" w:color="BFBFBF" w:themeColor="background1" w:themeShade="BF"/>
            </w:tcBorders>
            <w:shd w:val="clear" w:color="auto" w:fill="D9D9D9" w:themeFill="background1" w:themeFillShade="D9"/>
            <w:noWrap/>
          </w:tcPr>
          <w:p w14:paraId="5937FDB0" w14:textId="0304C10F" w:rsidR="00584187" w:rsidRPr="00D302B5" w:rsidRDefault="00584187" w:rsidP="00584187">
            <w:pPr>
              <w:jc w:val="center"/>
              <w:rPr>
                <w:rFonts w:ascii="Calibri" w:hAnsi="Calibri"/>
                <w:sz w:val="18"/>
                <w:szCs w:val="18"/>
              </w:rPr>
            </w:pPr>
            <w:r w:rsidRPr="00D302B5">
              <w:rPr>
                <w:rFonts w:ascii="Calibri" w:hAnsi="Calibri"/>
                <w:sz w:val="18"/>
                <w:szCs w:val="18"/>
              </w:rPr>
              <w:t>37,660,081</w:t>
            </w:r>
          </w:p>
        </w:tc>
        <w:tc>
          <w:tcPr>
            <w:tcW w:w="1576" w:type="dxa"/>
            <w:shd w:val="clear" w:color="auto" w:fill="D9D9D9" w:themeFill="background1" w:themeFillShade="D9"/>
            <w:noWrap/>
          </w:tcPr>
          <w:p w14:paraId="540C23AD" w14:textId="08949F56" w:rsidR="00584187" w:rsidRPr="00D302B5" w:rsidRDefault="00584187" w:rsidP="00584187">
            <w:pPr>
              <w:jc w:val="center"/>
              <w:rPr>
                <w:rFonts w:ascii="Calibri" w:hAnsi="Calibri"/>
                <w:sz w:val="18"/>
                <w:szCs w:val="18"/>
              </w:rPr>
            </w:pPr>
            <w:r w:rsidRPr="00D302B5">
              <w:rPr>
                <w:rFonts w:ascii="Calibri" w:hAnsi="Calibri"/>
                <w:sz w:val="18"/>
                <w:szCs w:val="18"/>
              </w:rPr>
              <w:t>38,434,778</w:t>
            </w:r>
          </w:p>
        </w:tc>
        <w:tc>
          <w:tcPr>
            <w:tcW w:w="1576" w:type="dxa"/>
            <w:shd w:val="clear" w:color="auto" w:fill="D9D9D9" w:themeFill="background1" w:themeFillShade="D9"/>
          </w:tcPr>
          <w:p w14:paraId="70C17C69" w14:textId="55560A54" w:rsidR="00584187" w:rsidRPr="00D302B5" w:rsidRDefault="00584187" w:rsidP="00584187">
            <w:pPr>
              <w:jc w:val="center"/>
              <w:rPr>
                <w:rFonts w:ascii="Calibri" w:hAnsi="Calibri"/>
                <w:sz w:val="18"/>
                <w:szCs w:val="18"/>
              </w:rPr>
            </w:pPr>
            <w:r w:rsidRPr="00D302B5">
              <w:rPr>
                <w:rFonts w:ascii="Calibri" w:hAnsi="Calibri"/>
                <w:sz w:val="18"/>
                <w:szCs w:val="18"/>
              </w:rPr>
              <w:t>34,817,237</w:t>
            </w:r>
          </w:p>
        </w:tc>
        <w:tc>
          <w:tcPr>
            <w:tcW w:w="1576" w:type="dxa"/>
            <w:shd w:val="clear" w:color="auto" w:fill="D9D9D9" w:themeFill="background1" w:themeFillShade="D9"/>
            <w:noWrap/>
          </w:tcPr>
          <w:p w14:paraId="49CEBCCF" w14:textId="35A301D6" w:rsidR="00584187" w:rsidRPr="00D302B5" w:rsidRDefault="00584187" w:rsidP="00584187">
            <w:pPr>
              <w:jc w:val="center"/>
              <w:rPr>
                <w:rFonts w:ascii="Calibri" w:hAnsi="Calibri"/>
                <w:sz w:val="18"/>
                <w:szCs w:val="18"/>
              </w:rPr>
            </w:pPr>
            <w:r w:rsidRPr="00D302B5">
              <w:rPr>
                <w:rFonts w:ascii="Calibri" w:hAnsi="Calibri"/>
                <w:sz w:val="18"/>
                <w:szCs w:val="18"/>
              </w:rPr>
              <w:t>47,569,479</w:t>
            </w:r>
          </w:p>
        </w:tc>
        <w:tc>
          <w:tcPr>
            <w:tcW w:w="1576" w:type="dxa"/>
            <w:shd w:val="clear" w:color="auto" w:fill="D9D9D9" w:themeFill="background1" w:themeFillShade="D9"/>
          </w:tcPr>
          <w:p w14:paraId="1B2E23FF" w14:textId="316A27B3" w:rsidR="00584187" w:rsidRPr="00D302B5" w:rsidRDefault="007F1684" w:rsidP="00584187">
            <w:pPr>
              <w:jc w:val="center"/>
              <w:rPr>
                <w:rFonts w:ascii="Calibri" w:hAnsi="Calibri"/>
                <w:sz w:val="18"/>
                <w:szCs w:val="18"/>
              </w:rPr>
            </w:pPr>
            <w:r>
              <w:rPr>
                <w:rFonts w:ascii="Calibri" w:hAnsi="Calibri"/>
                <w:sz w:val="18"/>
                <w:szCs w:val="18"/>
              </w:rPr>
              <w:t>40,893,224</w:t>
            </w:r>
          </w:p>
        </w:tc>
      </w:tr>
      <w:tr w:rsidR="00584187" w:rsidRPr="00D302B5" w14:paraId="34C1E4DE" w14:textId="77777777" w:rsidTr="001C42F5">
        <w:trPr>
          <w:trHeight w:val="70"/>
          <w:jc w:val="center"/>
        </w:trPr>
        <w:tc>
          <w:tcPr>
            <w:tcW w:w="2971" w:type="dxa"/>
            <w:tcBorders>
              <w:bottom w:val="single" w:sz="4" w:space="0" w:color="BFBFBF" w:themeColor="background1" w:themeShade="BF"/>
              <w:right w:val="single" w:sz="4" w:space="0" w:color="BFBFBF" w:themeColor="background1" w:themeShade="BF"/>
            </w:tcBorders>
            <w:shd w:val="clear" w:color="auto" w:fill="D9D9D9" w:themeFill="background1" w:themeFillShade="D9"/>
            <w:noWrap/>
            <w:vAlign w:val="bottom"/>
          </w:tcPr>
          <w:p w14:paraId="1375D802" w14:textId="77777777" w:rsidR="00584187" w:rsidRPr="00D302B5" w:rsidRDefault="00584187" w:rsidP="00584187">
            <w:pPr>
              <w:jc w:val="right"/>
              <w:rPr>
                <w:rFonts w:ascii="Calibri" w:eastAsia="Times New Roman" w:hAnsi="Calibri" w:cs="Arial"/>
                <w:sz w:val="18"/>
                <w:szCs w:val="18"/>
              </w:rPr>
            </w:pPr>
            <w:r w:rsidRPr="00D302B5">
              <w:rPr>
                <w:rFonts w:ascii="Calibri" w:eastAsia="Times New Roman" w:hAnsi="Calibri" w:cs="Arial"/>
                <w:sz w:val="18"/>
                <w:szCs w:val="18"/>
              </w:rPr>
              <w:t>Unrestricted Expenses =</w:t>
            </w:r>
          </w:p>
        </w:tc>
        <w:tc>
          <w:tcPr>
            <w:tcW w:w="1327" w:type="dxa"/>
            <w:tcBorders>
              <w:left w:val="single" w:sz="4" w:space="0" w:color="BFBFBF" w:themeColor="background1" w:themeShade="BF"/>
              <w:bottom w:val="single" w:sz="4" w:space="0" w:color="BFBFBF" w:themeColor="background1" w:themeShade="BF"/>
            </w:tcBorders>
            <w:shd w:val="clear" w:color="auto" w:fill="D9D9D9" w:themeFill="background1" w:themeFillShade="D9"/>
            <w:noWrap/>
          </w:tcPr>
          <w:p w14:paraId="2AEC6FBD" w14:textId="56912A83" w:rsidR="00584187" w:rsidRPr="00D302B5" w:rsidRDefault="00584187" w:rsidP="00584187">
            <w:pPr>
              <w:jc w:val="center"/>
              <w:rPr>
                <w:rFonts w:ascii="Calibri" w:hAnsi="Calibri"/>
                <w:sz w:val="18"/>
                <w:szCs w:val="18"/>
              </w:rPr>
            </w:pPr>
            <w:r w:rsidRPr="00D302B5">
              <w:rPr>
                <w:rFonts w:ascii="Calibri" w:hAnsi="Calibri"/>
                <w:sz w:val="18"/>
                <w:szCs w:val="18"/>
              </w:rPr>
              <w:t>167,333,617</w:t>
            </w:r>
          </w:p>
        </w:tc>
        <w:tc>
          <w:tcPr>
            <w:tcW w:w="1576" w:type="dxa"/>
            <w:tcBorders>
              <w:bottom w:val="single" w:sz="4" w:space="0" w:color="BFBFBF" w:themeColor="background1" w:themeShade="BF"/>
            </w:tcBorders>
            <w:shd w:val="clear" w:color="auto" w:fill="D9D9D9" w:themeFill="background1" w:themeFillShade="D9"/>
            <w:noWrap/>
          </w:tcPr>
          <w:p w14:paraId="4B87632D" w14:textId="4136817F" w:rsidR="00584187" w:rsidRPr="00D302B5" w:rsidRDefault="00584187" w:rsidP="00584187">
            <w:pPr>
              <w:jc w:val="center"/>
              <w:rPr>
                <w:rFonts w:ascii="Calibri" w:hAnsi="Calibri"/>
                <w:sz w:val="18"/>
                <w:szCs w:val="18"/>
              </w:rPr>
            </w:pPr>
            <w:r w:rsidRPr="00D302B5">
              <w:rPr>
                <w:rFonts w:ascii="Calibri" w:hAnsi="Calibri"/>
                <w:sz w:val="18"/>
                <w:szCs w:val="18"/>
              </w:rPr>
              <w:t>177,594,045</w:t>
            </w:r>
          </w:p>
        </w:tc>
        <w:tc>
          <w:tcPr>
            <w:tcW w:w="1576" w:type="dxa"/>
            <w:tcBorders>
              <w:bottom w:val="single" w:sz="4" w:space="0" w:color="BFBFBF" w:themeColor="background1" w:themeShade="BF"/>
            </w:tcBorders>
            <w:shd w:val="clear" w:color="auto" w:fill="D9D9D9" w:themeFill="background1" w:themeFillShade="D9"/>
          </w:tcPr>
          <w:p w14:paraId="23F4940F" w14:textId="61468DB7" w:rsidR="00584187" w:rsidRPr="00D302B5" w:rsidRDefault="00584187" w:rsidP="00584187">
            <w:pPr>
              <w:jc w:val="center"/>
              <w:rPr>
                <w:rFonts w:ascii="Calibri" w:hAnsi="Calibri"/>
                <w:sz w:val="18"/>
                <w:szCs w:val="18"/>
              </w:rPr>
            </w:pPr>
            <w:r w:rsidRPr="00D302B5">
              <w:rPr>
                <w:rFonts w:ascii="Calibri" w:hAnsi="Calibri"/>
                <w:sz w:val="18"/>
                <w:szCs w:val="18"/>
              </w:rPr>
              <w:t>191,137,068</w:t>
            </w:r>
          </w:p>
        </w:tc>
        <w:tc>
          <w:tcPr>
            <w:tcW w:w="1576" w:type="dxa"/>
            <w:tcBorders>
              <w:bottom w:val="single" w:sz="4" w:space="0" w:color="BFBFBF" w:themeColor="background1" w:themeShade="BF"/>
            </w:tcBorders>
            <w:shd w:val="clear" w:color="auto" w:fill="D9D9D9" w:themeFill="background1" w:themeFillShade="D9"/>
            <w:noWrap/>
          </w:tcPr>
          <w:p w14:paraId="78E0CDB3" w14:textId="1E9627B4" w:rsidR="00584187" w:rsidRPr="00D302B5" w:rsidRDefault="00584187" w:rsidP="00584187">
            <w:pPr>
              <w:jc w:val="center"/>
              <w:rPr>
                <w:rFonts w:ascii="Calibri" w:hAnsi="Calibri"/>
                <w:sz w:val="18"/>
                <w:szCs w:val="18"/>
              </w:rPr>
            </w:pPr>
            <w:r w:rsidRPr="00D302B5">
              <w:rPr>
                <w:rFonts w:ascii="Calibri" w:hAnsi="Calibri"/>
                <w:sz w:val="18"/>
                <w:szCs w:val="18"/>
              </w:rPr>
              <w:t>212,663,838</w:t>
            </w:r>
          </w:p>
        </w:tc>
        <w:tc>
          <w:tcPr>
            <w:tcW w:w="1576" w:type="dxa"/>
            <w:tcBorders>
              <w:bottom w:val="single" w:sz="4" w:space="0" w:color="BFBFBF" w:themeColor="background1" w:themeShade="BF"/>
            </w:tcBorders>
            <w:shd w:val="clear" w:color="auto" w:fill="D9D9D9" w:themeFill="background1" w:themeFillShade="D9"/>
          </w:tcPr>
          <w:p w14:paraId="63404C74" w14:textId="011A07BC" w:rsidR="00584187" w:rsidRPr="00D302B5" w:rsidRDefault="007F1684" w:rsidP="00584187">
            <w:pPr>
              <w:jc w:val="center"/>
              <w:rPr>
                <w:rFonts w:ascii="Calibri" w:hAnsi="Calibri"/>
                <w:sz w:val="18"/>
                <w:szCs w:val="18"/>
              </w:rPr>
            </w:pPr>
            <w:r>
              <w:rPr>
                <w:rFonts w:ascii="Calibri" w:hAnsi="Calibri"/>
                <w:sz w:val="18"/>
                <w:szCs w:val="18"/>
              </w:rPr>
              <w:t>219,855,031</w:t>
            </w:r>
          </w:p>
        </w:tc>
      </w:tr>
    </w:tbl>
    <w:p w14:paraId="0D75F39D" w14:textId="77777777" w:rsidR="002A30E5" w:rsidRPr="00D302B5" w:rsidRDefault="002A30E5" w:rsidP="002A30E5">
      <w:pPr>
        <w:autoSpaceDE w:val="0"/>
        <w:autoSpaceDN w:val="0"/>
        <w:adjustRightInd w:val="0"/>
        <w:rPr>
          <w:bCs/>
          <w:sz w:val="16"/>
          <w:szCs w:val="16"/>
        </w:rPr>
      </w:pPr>
      <w:r w:rsidRPr="00D302B5">
        <w:rPr>
          <w:bCs/>
          <w:sz w:val="16"/>
          <w:szCs w:val="16"/>
        </w:rPr>
        <w:t>Source: District Office Fiscal Services</w:t>
      </w:r>
    </w:p>
    <w:p w14:paraId="010F9525" w14:textId="3EE314AC" w:rsidR="002A30E5" w:rsidRDefault="002A30E5" w:rsidP="002A30E5">
      <w:pPr>
        <w:autoSpaceDE w:val="0"/>
        <w:autoSpaceDN w:val="0"/>
        <w:adjustRightInd w:val="0"/>
        <w:rPr>
          <w:bCs/>
          <w:color w:val="FF0000"/>
          <w:sz w:val="16"/>
          <w:szCs w:val="16"/>
        </w:rPr>
      </w:pPr>
    </w:p>
    <w:p w14:paraId="289CE9DF" w14:textId="77777777" w:rsidR="00580F33" w:rsidRPr="00B9364B" w:rsidRDefault="00580F33" w:rsidP="002A30E5">
      <w:pPr>
        <w:autoSpaceDE w:val="0"/>
        <w:autoSpaceDN w:val="0"/>
        <w:adjustRightInd w:val="0"/>
        <w:rPr>
          <w:bCs/>
          <w:color w:val="FF0000"/>
          <w:sz w:val="16"/>
          <w:szCs w:val="16"/>
        </w:rPr>
      </w:pPr>
    </w:p>
    <w:p w14:paraId="4DD96E61" w14:textId="76320B2C" w:rsidR="002A30E5" w:rsidRDefault="002A30E5" w:rsidP="002A30E5">
      <w:pPr>
        <w:pStyle w:val="Heading2"/>
        <w:spacing w:before="0"/>
        <w:rPr>
          <w:color w:val="auto"/>
        </w:rPr>
      </w:pPr>
      <w:bookmarkStart w:id="148" w:name="_Toc288801629"/>
      <w:bookmarkStart w:id="149" w:name="_Toc341183266"/>
      <w:bookmarkStart w:id="150" w:name="_Toc506217445"/>
      <w:r w:rsidRPr="00190F7A">
        <w:rPr>
          <w:color w:val="auto"/>
        </w:rPr>
        <w:t>Actions in the Area of Fiscal Support</w:t>
      </w:r>
      <w:bookmarkEnd w:id="148"/>
      <w:bookmarkEnd w:id="149"/>
      <w:bookmarkEnd w:id="150"/>
    </w:p>
    <w:p w14:paraId="78E38606" w14:textId="77777777" w:rsidR="00580F33" w:rsidRPr="00580F33" w:rsidRDefault="00580F33" w:rsidP="00580F33"/>
    <w:p w14:paraId="63B1A549" w14:textId="4B692B76" w:rsidR="00580F33" w:rsidRDefault="00580F33" w:rsidP="00580F33">
      <w:r>
        <w:t xml:space="preserve">As a part of the economic recovery moving out of the Great Recession, Proposition 30, </w:t>
      </w:r>
      <w:r w:rsidRPr="000E4B73">
        <w:t>The Schools and Local Public Safety Protection Act of 2012, approved by the voters on November 6, 2012 , temporarily increase</w:t>
      </w:r>
      <w:r>
        <w:t>d</w:t>
      </w:r>
      <w:r w:rsidRPr="000E4B73">
        <w:t xml:space="preserve"> the states Sales &amp; Use Tax (SUT) rate for all taxpayers</w:t>
      </w:r>
      <w:r>
        <w:t>,</w:t>
      </w:r>
      <w:r w:rsidRPr="000E4B73">
        <w:t xml:space="preserve"> and the Personal Income Tax (PIT) rates for upper-income taxpayers.</w:t>
      </w:r>
      <w:r>
        <w:t xml:space="preserve">  The SUT has since sunset, but the PI</w:t>
      </w:r>
      <w:r w:rsidR="00D5094A">
        <w:t xml:space="preserve">T was extended through </w:t>
      </w:r>
      <w:r>
        <w:t xml:space="preserve">2030 under Proposition 55, approved in November 2012.  The revenues associated with these tax increases allowed community colleges, and other local government agencies, to avoid significant budget reductions. The </w:t>
      </w:r>
      <w:r>
        <w:lastRenderedPageBreak/>
        <w:t>past few years have been relatively sound budget years and have allowed for economic recovery, but new economic challenges have since emerged.</w:t>
      </w:r>
    </w:p>
    <w:p w14:paraId="1CB539EB" w14:textId="77777777" w:rsidR="00D5094A" w:rsidRDefault="00D5094A" w:rsidP="00580F33"/>
    <w:p w14:paraId="311EDEF3" w14:textId="3A7CA58C" w:rsidR="00580F33" w:rsidRDefault="00580F33" w:rsidP="00580F33">
      <w:r>
        <w:t xml:space="preserve">Despite the availability of growth funds, </w:t>
      </w:r>
      <w:r w:rsidR="00D5094A">
        <w:t>the District</w:t>
      </w:r>
      <w:r>
        <w:t xml:space="preserve"> has </w:t>
      </w:r>
      <w:r w:rsidR="00D5094A">
        <w:t xml:space="preserve">not </w:t>
      </w:r>
      <w:r>
        <w:t xml:space="preserve">been </w:t>
      </w:r>
      <w:r w:rsidR="00D5094A">
        <w:t>to grow</w:t>
      </w:r>
      <w:r>
        <w:t xml:space="preserve"> enrollment </w:t>
      </w:r>
      <w:r w:rsidR="00D5094A">
        <w:t xml:space="preserve">to capture </w:t>
      </w:r>
      <w:r>
        <w:t xml:space="preserve">growth </w:t>
      </w:r>
      <w:r w:rsidR="00D5094A">
        <w:t xml:space="preserve">funding during the past five years. </w:t>
      </w:r>
      <w:r>
        <w:t xml:space="preserve">The </w:t>
      </w:r>
      <w:r w:rsidR="00D5094A">
        <w:t>D</w:t>
      </w:r>
      <w:r>
        <w:t xml:space="preserve">istrict has avoided eroding base funding through a strategic application of Stability, a one year fiscal hold-harmless allowed under current law, and </w:t>
      </w:r>
      <w:r w:rsidR="00D5094A">
        <w:t>reporting</w:t>
      </w:r>
      <w:r>
        <w:t xml:space="preserve"> summer FTES </w:t>
      </w:r>
      <w:r w:rsidR="00D5094A">
        <w:t xml:space="preserve">from the second summer </w:t>
      </w:r>
      <w:r>
        <w:t xml:space="preserve">that would otherwise have gone to a </w:t>
      </w:r>
      <w:r w:rsidR="00D5094A">
        <w:t>next</w:t>
      </w:r>
      <w:r>
        <w:t xml:space="preserve"> fiscal year, in the </w:t>
      </w:r>
      <w:r w:rsidR="00D5094A">
        <w:t>current</w:t>
      </w:r>
      <w:r>
        <w:t xml:space="preserve"> year. Nonetheless, fixed costs of operation escalate each year, and merely maintaining base </w:t>
      </w:r>
      <w:r w:rsidR="00D5094A">
        <w:t xml:space="preserve">funded </w:t>
      </w:r>
      <w:r>
        <w:t xml:space="preserve">enrollment means we are losing ground each year and is not a sustainable path forward. </w:t>
      </w:r>
      <w:r w:rsidR="00D5094A">
        <w:t>The District</w:t>
      </w:r>
      <w:r>
        <w:t xml:space="preserve"> is not alone in this phenomenon, as many districts, especially those in urban areas with a high cost-of-living, are also struggling with enrollments.  At the close of the 2016-17 fiscal year, approximately 30 of the 72 community college districts were in Stabilization.</w:t>
      </w:r>
    </w:p>
    <w:p w14:paraId="5AE7B0F1" w14:textId="77777777" w:rsidR="00D5094A" w:rsidRDefault="00D5094A" w:rsidP="00580F33"/>
    <w:p w14:paraId="085BECAB" w14:textId="0DD89C4D" w:rsidR="00580F33" w:rsidRDefault="00580F33" w:rsidP="00580F33">
      <w:r>
        <w:t xml:space="preserve">Total fund balance has been in the 20% range for several years, but due in part to continued flat enrollment, declined to 18.6% at the close of the 2016-17 fiscal year. A recent change to Board Policy now requires a 10% budgetary reserve.  </w:t>
      </w:r>
    </w:p>
    <w:p w14:paraId="49930E2C" w14:textId="6E0C23E3" w:rsidR="00580F33" w:rsidRDefault="00994022" w:rsidP="00580F33">
      <w:r>
        <w:t>In fall 2017, the District</w:t>
      </w:r>
      <w:r w:rsidR="00580F33">
        <w:t xml:space="preserve"> implemented a Classification/Compensation study making adjusting compensation for Confidential, Classified and Management employees and assuring the </w:t>
      </w:r>
      <w:r>
        <w:t>D</w:t>
      </w:r>
      <w:r w:rsidR="00580F33">
        <w:t>istrict that competitive salaries are being paid and enhancing the district’s ability to attract and retain high caliber employees.  However, the retroactive implementation of this study resulted in deficit spending emerging in the 2016-17 fiscal year and affected fund balance levels as noted above.</w:t>
      </w:r>
    </w:p>
    <w:p w14:paraId="32969C50" w14:textId="77777777" w:rsidR="009C2800" w:rsidRDefault="009C2800" w:rsidP="00580F33"/>
    <w:p w14:paraId="299394B6" w14:textId="29E4882C" w:rsidR="00580F33" w:rsidRDefault="00580F33" w:rsidP="00580F33">
      <w:r>
        <w:t xml:space="preserve">Significant increases in employer contributions are being experienced for the California State Teachers Retirement System (CalSTRS) and the California Public Employee Retirement System (CalPERS). These increases stem in part from lower than anticipated investment returns and changing demographics. The </w:t>
      </w:r>
      <w:r w:rsidR="00EE3F66">
        <w:t>S</w:t>
      </w:r>
      <w:r>
        <w:t xml:space="preserve">tate has augmented base funding </w:t>
      </w:r>
      <w:r>
        <w:lastRenderedPageBreak/>
        <w:t xml:space="preserve">during the past three years to help </w:t>
      </w:r>
      <w:r w:rsidR="00EE3F66">
        <w:t xml:space="preserve">offset </w:t>
      </w:r>
      <w:r>
        <w:t>these increases. The District also joined the Pension Rate Stabilization fund and has begun investing funds in an irrevocable trust</w:t>
      </w:r>
      <w:r w:rsidR="00EE3F66">
        <w:t>.</w:t>
      </w:r>
    </w:p>
    <w:p w14:paraId="283239EA" w14:textId="77777777" w:rsidR="00EE3F66" w:rsidRDefault="00EE3F66" w:rsidP="00580F33"/>
    <w:p w14:paraId="1DBCE515" w14:textId="091181EF" w:rsidR="00580F33" w:rsidRDefault="00EE3F66" w:rsidP="00580F33">
      <w:r>
        <w:t>The District</w:t>
      </w:r>
      <w:r w:rsidR="00580F33">
        <w:t xml:space="preserve"> provides a comprehensive array of health benefits for its employees, among them are three medical plans including two HMO type plans, and one self-funded PPO plan. The costs associated with delivering these programs are often volatile, and the 2017-18 Adopted Budget reflects a year-over-year increase of nearly </w:t>
      </w:r>
      <w:r>
        <w:t>7</w:t>
      </w:r>
      <w:r w:rsidR="00580F33">
        <w:t xml:space="preserve"> percent.</w:t>
      </w:r>
    </w:p>
    <w:p w14:paraId="7FB25682" w14:textId="77777777" w:rsidR="00EE3F66" w:rsidRDefault="00EE3F66" w:rsidP="00580F33"/>
    <w:p w14:paraId="72AD1DBC" w14:textId="39B503FA" w:rsidR="00580F33" w:rsidRDefault="00580F33" w:rsidP="00580F33">
      <w:r>
        <w:t xml:space="preserve">While </w:t>
      </w:r>
      <w:r w:rsidR="00EE3F66">
        <w:t>District</w:t>
      </w:r>
      <w:r>
        <w:t xml:space="preserve"> finances are in good health, the indicators noted above point to a need to fundamentally rebalance revenue and expense in the coming year</w:t>
      </w:r>
      <w:r w:rsidR="00EE3F66">
        <w:t>s</w:t>
      </w:r>
      <w:r>
        <w:t>.</w:t>
      </w:r>
    </w:p>
    <w:p w14:paraId="765A9D98" w14:textId="77777777" w:rsidR="00580F33" w:rsidRDefault="00580F33" w:rsidP="00580F33"/>
    <w:p w14:paraId="0F9D60FC" w14:textId="6CED6126" w:rsidR="00C82529" w:rsidRPr="00A055B2" w:rsidRDefault="00C82529" w:rsidP="00262EB3">
      <w:pPr>
        <w:pStyle w:val="Heading1"/>
        <w:spacing w:before="0"/>
        <w:rPr>
          <w:color w:val="auto"/>
        </w:rPr>
      </w:pPr>
      <w:bookmarkStart w:id="151" w:name="_Toc506217446"/>
      <w:r w:rsidRPr="00A055B2">
        <w:rPr>
          <w:color w:val="auto"/>
        </w:rPr>
        <w:t xml:space="preserve">CHAPTER V: </w:t>
      </w:r>
      <w:r w:rsidR="00F52A88">
        <w:rPr>
          <w:color w:val="auto"/>
        </w:rPr>
        <w:t>FACILITIES</w:t>
      </w:r>
      <w:bookmarkEnd w:id="151"/>
    </w:p>
    <w:p w14:paraId="10E85055" w14:textId="77777777" w:rsidR="00262EB3" w:rsidRPr="00A055B2" w:rsidRDefault="00262EB3" w:rsidP="00262EB3">
      <w:bookmarkStart w:id="152" w:name="_Toc288801612"/>
    </w:p>
    <w:p w14:paraId="0F9D60FD" w14:textId="72E60857" w:rsidR="0075738F" w:rsidRPr="00A055B2" w:rsidRDefault="000B29A3" w:rsidP="00262EB3">
      <w:pPr>
        <w:pStyle w:val="Heading2"/>
        <w:spacing w:before="0"/>
        <w:rPr>
          <w:color w:val="auto"/>
        </w:rPr>
      </w:pPr>
      <w:bookmarkStart w:id="153" w:name="_Toc506217447"/>
      <w:r w:rsidRPr="00A055B2">
        <w:rPr>
          <w:color w:val="auto"/>
        </w:rPr>
        <w:t xml:space="preserve">Assignable </w:t>
      </w:r>
      <w:r w:rsidR="0075738F" w:rsidRPr="00A055B2">
        <w:rPr>
          <w:color w:val="auto"/>
        </w:rPr>
        <w:t>Square Footage</w:t>
      </w:r>
      <w:bookmarkEnd w:id="152"/>
      <w:r w:rsidRPr="00A055B2">
        <w:rPr>
          <w:color w:val="auto"/>
        </w:rPr>
        <w:t xml:space="preserve"> (ASF)</w:t>
      </w:r>
      <w:bookmarkEnd w:id="153"/>
    </w:p>
    <w:p w14:paraId="5516D236" w14:textId="37FAD275" w:rsidR="00F46137" w:rsidRPr="00A055B2" w:rsidRDefault="00F46137" w:rsidP="00F46137">
      <w:pPr>
        <w:autoSpaceDE w:val="0"/>
        <w:autoSpaceDN w:val="0"/>
        <w:adjustRightInd w:val="0"/>
      </w:pPr>
      <w:r w:rsidRPr="00A055B2">
        <w:t>The Vision 2</w:t>
      </w:r>
      <w:r w:rsidR="00F52A88">
        <w:t>020 Facilities Master Plan showed</w:t>
      </w:r>
      <w:r w:rsidRPr="00A055B2">
        <w:t xml:space="preserve"> ASF</w:t>
      </w:r>
      <w:r w:rsidR="008C4894">
        <w:t xml:space="preserve"> projected need based on future </w:t>
      </w:r>
      <w:r w:rsidRPr="00A055B2">
        <w:t xml:space="preserve">growth projections </w:t>
      </w:r>
      <w:r w:rsidR="008C4894">
        <w:t xml:space="preserve">assumed </w:t>
      </w:r>
      <w:r w:rsidRPr="00A055B2">
        <w:t xml:space="preserve">in 2010-11. Caution should be used when referring to these projected numbers because they were based on an estimated 2.3% growth per year in full-time equivalent students which we have not achieved and do not expect in the foreseeable future. These numbers need to be revisited to reflect current </w:t>
      </w:r>
      <w:r w:rsidR="00F52A88">
        <w:t xml:space="preserve">and projected </w:t>
      </w:r>
      <w:r w:rsidRPr="00A055B2">
        <w:t>conditions.</w:t>
      </w:r>
    </w:p>
    <w:p w14:paraId="678B53BB" w14:textId="77777777" w:rsidR="00F46137" w:rsidRPr="00A055B2" w:rsidRDefault="00F46137" w:rsidP="00F46137">
      <w:pPr>
        <w:autoSpaceDE w:val="0"/>
        <w:autoSpaceDN w:val="0"/>
        <w:adjustRightInd w:val="0"/>
      </w:pPr>
    </w:p>
    <w:p w14:paraId="67181F46" w14:textId="2C68A2E7" w:rsidR="00F46137" w:rsidRPr="00A055B2" w:rsidRDefault="00F46137" w:rsidP="00F46137">
      <w:pPr>
        <w:autoSpaceDE w:val="0"/>
        <w:autoSpaceDN w:val="0"/>
        <w:adjustRightInd w:val="0"/>
        <w:rPr>
          <w:sz w:val="16"/>
          <w:szCs w:val="16"/>
        </w:rPr>
      </w:pPr>
      <w:r w:rsidRPr="00A055B2">
        <w:rPr>
          <w:bCs/>
          <w:iCs/>
          <w:noProof/>
        </w:rPr>
        <w:t xml:space="preserve">The drop in District Office numbers in 2013-14 is due to the removal from the inventory of Coastline’s lease space for the two One-Stop Centers and the moving of the </w:t>
      </w:r>
      <w:r w:rsidR="008C4894">
        <w:rPr>
          <w:bCs/>
          <w:iCs/>
          <w:noProof/>
        </w:rPr>
        <w:t xml:space="preserve">Coastline </w:t>
      </w:r>
      <w:r w:rsidRPr="00A055B2">
        <w:rPr>
          <w:bCs/>
          <w:iCs/>
          <w:noProof/>
        </w:rPr>
        <w:t>IT facility to the OLIT Building. At the time of this report, GWC is showing approximately 44,000 ASF of Inactive space. The ultimate removal of this space and the future reconfiguration of other existing space will better align the College with the current 2020 projected need figure.</w:t>
      </w:r>
    </w:p>
    <w:p w14:paraId="1AFD11B0" w14:textId="77777777" w:rsidR="008C626B" w:rsidRPr="00B9364B" w:rsidRDefault="008C626B" w:rsidP="0075738F">
      <w:pPr>
        <w:autoSpaceDE w:val="0"/>
        <w:autoSpaceDN w:val="0"/>
        <w:adjustRightInd w:val="0"/>
        <w:rPr>
          <w:color w:val="FF0000"/>
        </w:rPr>
      </w:pPr>
    </w:p>
    <w:p w14:paraId="0F9D6101" w14:textId="6855AAAC" w:rsidR="00113F65" w:rsidRPr="00B9364B" w:rsidRDefault="00853596" w:rsidP="0075738F">
      <w:pPr>
        <w:autoSpaceDE w:val="0"/>
        <w:autoSpaceDN w:val="0"/>
        <w:adjustRightInd w:val="0"/>
        <w:jc w:val="center"/>
        <w:rPr>
          <w:bCs/>
          <w:color w:val="FF0000"/>
          <w:sz w:val="20"/>
        </w:rPr>
      </w:pPr>
      <w:r w:rsidRPr="00B9364B">
        <w:rPr>
          <w:b/>
          <w:bCs/>
          <w:noProof/>
          <w:color w:val="FF0000"/>
        </w:rPr>
        <w:lastRenderedPageBreak/>
        <w:drawing>
          <wp:inline distT="0" distB="0" distL="0" distR="0" wp14:anchorId="398182FE" wp14:editId="6BC0AA30">
            <wp:extent cx="6964045" cy="3233318"/>
            <wp:effectExtent l="0" t="0" r="8255"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99C426F" w14:textId="0A736C18" w:rsidR="008C626B" w:rsidRPr="00511E1C" w:rsidRDefault="00511E1C">
      <w:pPr>
        <w:rPr>
          <w:rFonts w:ascii="Calibri" w:hAnsi="Calibri"/>
          <w:bCs/>
          <w:sz w:val="18"/>
        </w:rPr>
      </w:pPr>
      <w:r w:rsidRPr="00511E1C">
        <w:rPr>
          <w:rFonts w:ascii="Calibri" w:hAnsi="Calibri"/>
          <w:bCs/>
          <w:sz w:val="18"/>
        </w:rPr>
        <w:t>Source: Fusion Space Inventory, Campus ASF Summary</w:t>
      </w:r>
      <w:r w:rsidR="00ED7781">
        <w:rPr>
          <w:rFonts w:ascii="Calibri" w:hAnsi="Calibri"/>
          <w:bCs/>
          <w:sz w:val="18"/>
        </w:rPr>
        <w:t xml:space="preserve">. </w:t>
      </w:r>
      <w:r w:rsidR="00ED7781" w:rsidRPr="00ED7781">
        <w:rPr>
          <w:bCs/>
          <w:iCs/>
          <w:noProof/>
          <w:color w:val="FF0000"/>
          <w:sz w:val="16"/>
          <w:szCs w:val="16"/>
        </w:rPr>
        <w:t xml:space="preserve"> </w:t>
      </w:r>
      <w:r w:rsidR="00ED7781" w:rsidRPr="00ED7781">
        <w:rPr>
          <w:bCs/>
          <w:iCs/>
          <w:noProof/>
          <w:sz w:val="16"/>
          <w:szCs w:val="16"/>
        </w:rPr>
        <w:t>Determination of projected need by Cambridge West Partnership.</w:t>
      </w:r>
    </w:p>
    <w:p w14:paraId="186C839B" w14:textId="77777777" w:rsidR="00511E1C" w:rsidRPr="00B9364B" w:rsidRDefault="00511E1C">
      <w:pPr>
        <w:rPr>
          <w:bCs/>
          <w:color w:val="FF0000"/>
          <w:sz w:val="20"/>
        </w:rPr>
      </w:pPr>
    </w:p>
    <w:p w14:paraId="27110FA2" w14:textId="77777777" w:rsidR="002E441F" w:rsidRPr="00B9364B" w:rsidRDefault="002E441F" w:rsidP="00FF2F9A">
      <w:pPr>
        <w:autoSpaceDE w:val="0"/>
        <w:autoSpaceDN w:val="0"/>
        <w:adjustRightInd w:val="0"/>
        <w:rPr>
          <w:bCs/>
          <w:iCs/>
          <w:noProof/>
          <w:color w:val="FF0000"/>
          <w:sz w:val="16"/>
          <w:szCs w:val="16"/>
        </w:rPr>
      </w:pPr>
    </w:p>
    <w:p w14:paraId="37427380" w14:textId="77777777" w:rsidR="00394881" w:rsidRPr="00493042" w:rsidRDefault="00394881" w:rsidP="00394881">
      <w:r>
        <w:t>As of June 30, 2017</w:t>
      </w:r>
      <w:r w:rsidRPr="00190F7A">
        <w:t>, the District had over $</w:t>
      </w:r>
      <w:r>
        <w:t>512</w:t>
      </w:r>
      <w:r w:rsidRPr="00190F7A">
        <w:t xml:space="preserve"> million invested in net capital assets</w:t>
      </w:r>
      <w:r>
        <w:t>.</w:t>
      </w:r>
      <w:r w:rsidRPr="00394881">
        <w:t xml:space="preserve"> </w:t>
      </w:r>
      <w:r>
        <w:t>Total capital assets of $823 million consist of land, buildings and building improvements, vehicles, data processing equipment and other office equipment; these assets have accumulated depreciation of $311 million. New additions for construction and equipment of $61.0 million occurred during 2016-17, and depreciation expense of $21.7 million was recorded for the fiscal year. Construction in progress of $16.7 million was completed and placed into service as buildings and site improvements</w:t>
      </w:r>
    </w:p>
    <w:p w14:paraId="5C80F85B" w14:textId="77777777" w:rsidR="00F46137" w:rsidRPr="00B9364B" w:rsidRDefault="00F46137">
      <w:pPr>
        <w:autoSpaceDE w:val="0"/>
        <w:autoSpaceDN w:val="0"/>
        <w:adjustRightInd w:val="0"/>
        <w:rPr>
          <w:color w:val="FF0000"/>
          <w:sz w:val="16"/>
          <w:szCs w:val="16"/>
        </w:rPr>
      </w:pPr>
    </w:p>
    <w:sectPr w:rsidR="00F46137" w:rsidRPr="00B9364B" w:rsidSect="00081B50">
      <w:footerReference w:type="default" r:id="rId75"/>
      <w:pgSz w:w="12240" w:h="15840" w:code="1"/>
      <w:pgMar w:top="720" w:right="547" w:bottom="720" w:left="547"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D8866" w14:textId="77777777" w:rsidR="00AD26C4" w:rsidRDefault="00AD26C4" w:rsidP="00B52ABF">
      <w:r>
        <w:separator/>
      </w:r>
    </w:p>
  </w:endnote>
  <w:endnote w:type="continuationSeparator" w:id="0">
    <w:p w14:paraId="32401750" w14:textId="77777777" w:rsidR="00AD26C4" w:rsidRDefault="00AD26C4" w:rsidP="00B52ABF">
      <w:r>
        <w:continuationSeparator/>
      </w:r>
    </w:p>
  </w:endnote>
  <w:endnote w:type="continuationNotice" w:id="1">
    <w:p w14:paraId="0EDC3866" w14:textId="77777777" w:rsidR="00AD26C4" w:rsidRDefault="00AD26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200058"/>
      <w:docPartObj>
        <w:docPartGallery w:val="Page Numbers (Bottom of Page)"/>
        <w:docPartUnique/>
      </w:docPartObj>
    </w:sdtPr>
    <w:sdtEndPr>
      <w:rPr>
        <w:noProof/>
      </w:rPr>
    </w:sdtEndPr>
    <w:sdtContent>
      <w:p w14:paraId="20178834" w14:textId="09E56A80" w:rsidR="00A51CEB" w:rsidRDefault="00A51CEB">
        <w:pPr>
          <w:pStyle w:val="Footer"/>
          <w:jc w:val="center"/>
        </w:pPr>
        <w:r>
          <w:fldChar w:fldCharType="begin"/>
        </w:r>
        <w:r>
          <w:instrText xml:space="preserve"> PAGE   \* MERGEFORMAT </w:instrText>
        </w:r>
        <w:r>
          <w:fldChar w:fldCharType="separate"/>
        </w:r>
        <w:r w:rsidR="002A5133">
          <w:rPr>
            <w:noProof/>
          </w:rPr>
          <w:t>1</w:t>
        </w:r>
        <w:r>
          <w:rPr>
            <w:noProof/>
          </w:rPr>
          <w:fldChar w:fldCharType="end"/>
        </w:r>
      </w:p>
    </w:sdtContent>
  </w:sdt>
  <w:p w14:paraId="2FAD98F7" w14:textId="1B582887" w:rsidR="00A51CEB" w:rsidRDefault="00A51CE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AB0E6" w14:textId="77777777" w:rsidR="00AD26C4" w:rsidRDefault="00AD26C4" w:rsidP="00B52ABF">
      <w:r>
        <w:separator/>
      </w:r>
    </w:p>
  </w:footnote>
  <w:footnote w:type="continuationSeparator" w:id="0">
    <w:p w14:paraId="1BF10789" w14:textId="77777777" w:rsidR="00AD26C4" w:rsidRDefault="00AD26C4" w:rsidP="00B52ABF">
      <w:r>
        <w:continuationSeparator/>
      </w:r>
    </w:p>
  </w:footnote>
  <w:footnote w:type="continuationNotice" w:id="1">
    <w:p w14:paraId="051139FD" w14:textId="77777777" w:rsidR="00AD26C4" w:rsidRDefault="00AD26C4">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79F"/>
    <w:multiLevelType w:val="hybridMultilevel"/>
    <w:tmpl w:val="56F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12BD9"/>
    <w:multiLevelType w:val="hybridMultilevel"/>
    <w:tmpl w:val="DF0A3A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A4535E"/>
    <w:multiLevelType w:val="hybridMultilevel"/>
    <w:tmpl w:val="0268B0D4"/>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3">
    <w:nsid w:val="099F432A"/>
    <w:multiLevelType w:val="hybridMultilevel"/>
    <w:tmpl w:val="A8D4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35D52"/>
    <w:multiLevelType w:val="hybridMultilevel"/>
    <w:tmpl w:val="AD8EB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4583009"/>
    <w:multiLevelType w:val="hybridMultilevel"/>
    <w:tmpl w:val="EEA49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285C67"/>
    <w:multiLevelType w:val="hybridMultilevel"/>
    <w:tmpl w:val="3224F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59733F"/>
    <w:multiLevelType w:val="hybridMultilevel"/>
    <w:tmpl w:val="595EE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14AC6"/>
    <w:multiLevelType w:val="hybridMultilevel"/>
    <w:tmpl w:val="9BCA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78134C"/>
    <w:multiLevelType w:val="hybridMultilevel"/>
    <w:tmpl w:val="EA4ACDB8"/>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10">
    <w:nsid w:val="3C511E63"/>
    <w:multiLevelType w:val="hybridMultilevel"/>
    <w:tmpl w:val="CF2E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D70E11"/>
    <w:multiLevelType w:val="hybridMultilevel"/>
    <w:tmpl w:val="CF10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EA4E99"/>
    <w:multiLevelType w:val="hybridMultilevel"/>
    <w:tmpl w:val="144A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875E2C"/>
    <w:multiLevelType w:val="hybridMultilevel"/>
    <w:tmpl w:val="F8B0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AB33C4"/>
    <w:multiLevelType w:val="hybridMultilevel"/>
    <w:tmpl w:val="55FE47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C20F82"/>
    <w:multiLevelType w:val="hybridMultilevel"/>
    <w:tmpl w:val="261A4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B54EFF"/>
    <w:multiLevelType w:val="hybridMultilevel"/>
    <w:tmpl w:val="9CAE3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EB949E5"/>
    <w:multiLevelType w:val="hybridMultilevel"/>
    <w:tmpl w:val="2CB0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2F6EBA"/>
    <w:multiLevelType w:val="hybridMultilevel"/>
    <w:tmpl w:val="25DE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C01714"/>
    <w:multiLevelType w:val="hybridMultilevel"/>
    <w:tmpl w:val="04F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8653E9"/>
    <w:multiLevelType w:val="hybridMultilevel"/>
    <w:tmpl w:val="C6C0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D00306"/>
    <w:multiLevelType w:val="hybridMultilevel"/>
    <w:tmpl w:val="4460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2516BC"/>
    <w:multiLevelType w:val="hybridMultilevel"/>
    <w:tmpl w:val="A8EA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E34A24"/>
    <w:multiLevelType w:val="hybridMultilevel"/>
    <w:tmpl w:val="601C9370"/>
    <w:lvl w:ilvl="0" w:tplc="95185D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E71D04"/>
    <w:multiLevelType w:val="hybridMultilevel"/>
    <w:tmpl w:val="E7568776"/>
    <w:lvl w:ilvl="0" w:tplc="473640B4">
      <w:start w:val="1"/>
      <w:numFmt w:val="bullet"/>
      <w:lvlText w:val=""/>
      <w:lvlJc w:val="left"/>
      <w:pPr>
        <w:ind w:left="360" w:hanging="360"/>
      </w:pPr>
      <w:rPr>
        <w:rFonts w:ascii="Wingdings" w:hAnsi="Wingdings" w:hint="default"/>
        <w:color w:val="4F81BD" w:themeColor="accent1"/>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5D82599"/>
    <w:multiLevelType w:val="hybridMultilevel"/>
    <w:tmpl w:val="1A685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9D6647B"/>
    <w:multiLevelType w:val="hybridMultilevel"/>
    <w:tmpl w:val="4364E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0"/>
  </w:num>
  <w:num w:numId="4">
    <w:abstractNumId w:val="22"/>
  </w:num>
  <w:num w:numId="5">
    <w:abstractNumId w:val="11"/>
  </w:num>
  <w:num w:numId="6">
    <w:abstractNumId w:val="18"/>
  </w:num>
  <w:num w:numId="7">
    <w:abstractNumId w:val="25"/>
  </w:num>
  <w:num w:numId="8">
    <w:abstractNumId w:val="3"/>
  </w:num>
  <w:num w:numId="9">
    <w:abstractNumId w:val="20"/>
  </w:num>
  <w:num w:numId="10">
    <w:abstractNumId w:val="8"/>
  </w:num>
  <w:num w:numId="11">
    <w:abstractNumId w:val="13"/>
  </w:num>
  <w:num w:numId="12">
    <w:abstractNumId w:val="23"/>
  </w:num>
  <w:num w:numId="13">
    <w:abstractNumId w:val="19"/>
  </w:num>
  <w:num w:numId="14">
    <w:abstractNumId w:val="26"/>
  </w:num>
  <w:num w:numId="15">
    <w:abstractNumId w:val="2"/>
  </w:num>
  <w:num w:numId="16">
    <w:abstractNumId w:val="9"/>
  </w:num>
  <w:num w:numId="17">
    <w:abstractNumId w:val="13"/>
  </w:num>
  <w:num w:numId="18">
    <w:abstractNumId w:val="16"/>
  </w:num>
  <w:num w:numId="19">
    <w:abstractNumId w:val="24"/>
  </w:num>
  <w:num w:numId="20">
    <w:abstractNumId w:val="5"/>
  </w:num>
  <w:num w:numId="21">
    <w:abstractNumId w:val="1"/>
  </w:num>
  <w:num w:numId="22">
    <w:abstractNumId w:val="4"/>
  </w:num>
  <w:num w:numId="23">
    <w:abstractNumId w:val="7"/>
  </w:num>
  <w:num w:numId="24">
    <w:abstractNumId w:val="6"/>
  </w:num>
  <w:num w:numId="25">
    <w:abstractNumId w:val="17"/>
  </w:num>
  <w:num w:numId="26">
    <w:abstractNumId w:val="15"/>
  </w:num>
  <w:num w:numId="27">
    <w:abstractNumId w:val="10"/>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rawNDAxtDCzMDGzMDJR0lEKTi0uzszPAykwqgUAXODlMiwAAAA="/>
  </w:docVars>
  <w:rsids>
    <w:rsidRoot w:val="00B47F5D"/>
    <w:rsid w:val="00000A4C"/>
    <w:rsid w:val="00000B71"/>
    <w:rsid w:val="00000E13"/>
    <w:rsid w:val="00001192"/>
    <w:rsid w:val="0000124E"/>
    <w:rsid w:val="000016AD"/>
    <w:rsid w:val="00001B21"/>
    <w:rsid w:val="00001B69"/>
    <w:rsid w:val="00002B0C"/>
    <w:rsid w:val="00003EB4"/>
    <w:rsid w:val="000040D9"/>
    <w:rsid w:val="00004284"/>
    <w:rsid w:val="0000567B"/>
    <w:rsid w:val="0000624D"/>
    <w:rsid w:val="000077A7"/>
    <w:rsid w:val="00007DA9"/>
    <w:rsid w:val="00010791"/>
    <w:rsid w:val="00010BBD"/>
    <w:rsid w:val="00012437"/>
    <w:rsid w:val="00012606"/>
    <w:rsid w:val="000133ED"/>
    <w:rsid w:val="00016453"/>
    <w:rsid w:val="000165A4"/>
    <w:rsid w:val="00016705"/>
    <w:rsid w:val="000169A8"/>
    <w:rsid w:val="00016BEE"/>
    <w:rsid w:val="000179B6"/>
    <w:rsid w:val="00020985"/>
    <w:rsid w:val="00020F7C"/>
    <w:rsid w:val="0002114C"/>
    <w:rsid w:val="000229C4"/>
    <w:rsid w:val="00022BD3"/>
    <w:rsid w:val="0002328D"/>
    <w:rsid w:val="00023F5D"/>
    <w:rsid w:val="000249F7"/>
    <w:rsid w:val="00024E48"/>
    <w:rsid w:val="00025207"/>
    <w:rsid w:val="00025AC8"/>
    <w:rsid w:val="00026581"/>
    <w:rsid w:val="00026B95"/>
    <w:rsid w:val="00027588"/>
    <w:rsid w:val="0002759D"/>
    <w:rsid w:val="00030D35"/>
    <w:rsid w:val="000317E0"/>
    <w:rsid w:val="000325BD"/>
    <w:rsid w:val="000335A3"/>
    <w:rsid w:val="00033B8C"/>
    <w:rsid w:val="00034100"/>
    <w:rsid w:val="00035200"/>
    <w:rsid w:val="000352AB"/>
    <w:rsid w:val="00035ADD"/>
    <w:rsid w:val="00036047"/>
    <w:rsid w:val="00037269"/>
    <w:rsid w:val="00037467"/>
    <w:rsid w:val="00037784"/>
    <w:rsid w:val="00037A5F"/>
    <w:rsid w:val="00037C07"/>
    <w:rsid w:val="000406A6"/>
    <w:rsid w:val="0004126D"/>
    <w:rsid w:val="0004143A"/>
    <w:rsid w:val="00041D48"/>
    <w:rsid w:val="00041EC1"/>
    <w:rsid w:val="000429C6"/>
    <w:rsid w:val="00042C20"/>
    <w:rsid w:val="00042FB1"/>
    <w:rsid w:val="000451EE"/>
    <w:rsid w:val="0004562E"/>
    <w:rsid w:val="00046063"/>
    <w:rsid w:val="00046EE9"/>
    <w:rsid w:val="00047038"/>
    <w:rsid w:val="00047317"/>
    <w:rsid w:val="00047391"/>
    <w:rsid w:val="000473A0"/>
    <w:rsid w:val="000476F7"/>
    <w:rsid w:val="0005152C"/>
    <w:rsid w:val="000515EF"/>
    <w:rsid w:val="0005517B"/>
    <w:rsid w:val="00055902"/>
    <w:rsid w:val="000563C4"/>
    <w:rsid w:val="00056411"/>
    <w:rsid w:val="00056E57"/>
    <w:rsid w:val="00057568"/>
    <w:rsid w:val="00057646"/>
    <w:rsid w:val="000578C6"/>
    <w:rsid w:val="00057E11"/>
    <w:rsid w:val="000607E1"/>
    <w:rsid w:val="00060FAB"/>
    <w:rsid w:val="0006146F"/>
    <w:rsid w:val="00061C24"/>
    <w:rsid w:val="00062B83"/>
    <w:rsid w:val="00063ACA"/>
    <w:rsid w:val="000649B8"/>
    <w:rsid w:val="000652BA"/>
    <w:rsid w:val="00065562"/>
    <w:rsid w:val="00067B3E"/>
    <w:rsid w:val="000708E6"/>
    <w:rsid w:val="00070C73"/>
    <w:rsid w:val="000713FD"/>
    <w:rsid w:val="000715BA"/>
    <w:rsid w:val="000716E2"/>
    <w:rsid w:val="00072031"/>
    <w:rsid w:val="00072B06"/>
    <w:rsid w:val="00072D3C"/>
    <w:rsid w:val="0007365A"/>
    <w:rsid w:val="00073D59"/>
    <w:rsid w:val="000741E6"/>
    <w:rsid w:val="000743AA"/>
    <w:rsid w:val="00074B7E"/>
    <w:rsid w:val="00075EB6"/>
    <w:rsid w:val="00076562"/>
    <w:rsid w:val="00077BD9"/>
    <w:rsid w:val="00077D11"/>
    <w:rsid w:val="00080CF5"/>
    <w:rsid w:val="000816C4"/>
    <w:rsid w:val="00081B50"/>
    <w:rsid w:val="00081EEC"/>
    <w:rsid w:val="0008241D"/>
    <w:rsid w:val="00082E01"/>
    <w:rsid w:val="0008338B"/>
    <w:rsid w:val="000838AA"/>
    <w:rsid w:val="00083955"/>
    <w:rsid w:val="00083E46"/>
    <w:rsid w:val="000856A3"/>
    <w:rsid w:val="00085E52"/>
    <w:rsid w:val="0008704E"/>
    <w:rsid w:val="0009114A"/>
    <w:rsid w:val="00091FE0"/>
    <w:rsid w:val="00092637"/>
    <w:rsid w:val="00092F31"/>
    <w:rsid w:val="000933DB"/>
    <w:rsid w:val="00093FD5"/>
    <w:rsid w:val="000940E9"/>
    <w:rsid w:val="0009481D"/>
    <w:rsid w:val="00094A57"/>
    <w:rsid w:val="0009681E"/>
    <w:rsid w:val="00097191"/>
    <w:rsid w:val="00097430"/>
    <w:rsid w:val="00097847"/>
    <w:rsid w:val="00097AE3"/>
    <w:rsid w:val="000A0B85"/>
    <w:rsid w:val="000A2635"/>
    <w:rsid w:val="000A382F"/>
    <w:rsid w:val="000A4DBE"/>
    <w:rsid w:val="000A4F50"/>
    <w:rsid w:val="000A55F4"/>
    <w:rsid w:val="000A591D"/>
    <w:rsid w:val="000A5D8D"/>
    <w:rsid w:val="000A74FA"/>
    <w:rsid w:val="000A7C51"/>
    <w:rsid w:val="000A7F0B"/>
    <w:rsid w:val="000B1D30"/>
    <w:rsid w:val="000B25E0"/>
    <w:rsid w:val="000B29A3"/>
    <w:rsid w:val="000B3A9F"/>
    <w:rsid w:val="000B3D98"/>
    <w:rsid w:val="000B3E8C"/>
    <w:rsid w:val="000B4565"/>
    <w:rsid w:val="000B5BA1"/>
    <w:rsid w:val="000B6414"/>
    <w:rsid w:val="000B70B3"/>
    <w:rsid w:val="000B73F3"/>
    <w:rsid w:val="000C198C"/>
    <w:rsid w:val="000C1C92"/>
    <w:rsid w:val="000C30F0"/>
    <w:rsid w:val="000C3C05"/>
    <w:rsid w:val="000C3E22"/>
    <w:rsid w:val="000C3EAE"/>
    <w:rsid w:val="000C5D1B"/>
    <w:rsid w:val="000C699B"/>
    <w:rsid w:val="000C6EF2"/>
    <w:rsid w:val="000C744A"/>
    <w:rsid w:val="000C7E4E"/>
    <w:rsid w:val="000D2669"/>
    <w:rsid w:val="000D287E"/>
    <w:rsid w:val="000D35DB"/>
    <w:rsid w:val="000D470A"/>
    <w:rsid w:val="000D5102"/>
    <w:rsid w:val="000D556A"/>
    <w:rsid w:val="000D72DF"/>
    <w:rsid w:val="000D745F"/>
    <w:rsid w:val="000E3486"/>
    <w:rsid w:val="000E3AF7"/>
    <w:rsid w:val="000E3F9A"/>
    <w:rsid w:val="000E6202"/>
    <w:rsid w:val="000E6710"/>
    <w:rsid w:val="000E7C73"/>
    <w:rsid w:val="000F076A"/>
    <w:rsid w:val="000F127D"/>
    <w:rsid w:val="000F1C7F"/>
    <w:rsid w:val="000F1FC6"/>
    <w:rsid w:val="000F3276"/>
    <w:rsid w:val="000F36D3"/>
    <w:rsid w:val="000F3C56"/>
    <w:rsid w:val="000F4B15"/>
    <w:rsid w:val="000F5236"/>
    <w:rsid w:val="000F5647"/>
    <w:rsid w:val="000F60AA"/>
    <w:rsid w:val="000F6773"/>
    <w:rsid w:val="00100EA7"/>
    <w:rsid w:val="00101449"/>
    <w:rsid w:val="001031F4"/>
    <w:rsid w:val="001038B7"/>
    <w:rsid w:val="00103D46"/>
    <w:rsid w:val="00103D6A"/>
    <w:rsid w:val="001051D7"/>
    <w:rsid w:val="00105672"/>
    <w:rsid w:val="00106A2E"/>
    <w:rsid w:val="00106D13"/>
    <w:rsid w:val="00107812"/>
    <w:rsid w:val="00111193"/>
    <w:rsid w:val="001122A9"/>
    <w:rsid w:val="0011374F"/>
    <w:rsid w:val="00113F65"/>
    <w:rsid w:val="001144FD"/>
    <w:rsid w:val="001146EA"/>
    <w:rsid w:val="0011593A"/>
    <w:rsid w:val="001166D3"/>
    <w:rsid w:val="0012027C"/>
    <w:rsid w:val="00120F38"/>
    <w:rsid w:val="001215A0"/>
    <w:rsid w:val="00121863"/>
    <w:rsid w:val="00122D65"/>
    <w:rsid w:val="00123B08"/>
    <w:rsid w:val="001249F8"/>
    <w:rsid w:val="00124FA0"/>
    <w:rsid w:val="00125399"/>
    <w:rsid w:val="00125600"/>
    <w:rsid w:val="00126079"/>
    <w:rsid w:val="00127596"/>
    <w:rsid w:val="001306CA"/>
    <w:rsid w:val="00130B0B"/>
    <w:rsid w:val="00131285"/>
    <w:rsid w:val="00132355"/>
    <w:rsid w:val="00132FED"/>
    <w:rsid w:val="001330D2"/>
    <w:rsid w:val="00133138"/>
    <w:rsid w:val="001331E2"/>
    <w:rsid w:val="00133211"/>
    <w:rsid w:val="001335C8"/>
    <w:rsid w:val="00133956"/>
    <w:rsid w:val="00135076"/>
    <w:rsid w:val="00135235"/>
    <w:rsid w:val="00135707"/>
    <w:rsid w:val="00136218"/>
    <w:rsid w:val="00136A7E"/>
    <w:rsid w:val="00136C12"/>
    <w:rsid w:val="00136EEE"/>
    <w:rsid w:val="00136FEB"/>
    <w:rsid w:val="00140099"/>
    <w:rsid w:val="0014056B"/>
    <w:rsid w:val="001405AE"/>
    <w:rsid w:val="00140771"/>
    <w:rsid w:val="001413C3"/>
    <w:rsid w:val="00141B79"/>
    <w:rsid w:val="0014254C"/>
    <w:rsid w:val="00142DE3"/>
    <w:rsid w:val="00142DF4"/>
    <w:rsid w:val="00143226"/>
    <w:rsid w:val="00143644"/>
    <w:rsid w:val="001437DB"/>
    <w:rsid w:val="00143C8E"/>
    <w:rsid w:val="001440B1"/>
    <w:rsid w:val="00144BC0"/>
    <w:rsid w:val="00144FCC"/>
    <w:rsid w:val="00145FD6"/>
    <w:rsid w:val="0014706F"/>
    <w:rsid w:val="001474E2"/>
    <w:rsid w:val="00147C27"/>
    <w:rsid w:val="001500C1"/>
    <w:rsid w:val="00150802"/>
    <w:rsid w:val="001509F2"/>
    <w:rsid w:val="0015110F"/>
    <w:rsid w:val="00151C5F"/>
    <w:rsid w:val="00152684"/>
    <w:rsid w:val="00152E1E"/>
    <w:rsid w:val="001538BA"/>
    <w:rsid w:val="001543DF"/>
    <w:rsid w:val="0015463E"/>
    <w:rsid w:val="001547F1"/>
    <w:rsid w:val="00154E8A"/>
    <w:rsid w:val="00154F3B"/>
    <w:rsid w:val="0015697B"/>
    <w:rsid w:val="00157896"/>
    <w:rsid w:val="00157EB1"/>
    <w:rsid w:val="001617C2"/>
    <w:rsid w:val="00161B07"/>
    <w:rsid w:val="00161C10"/>
    <w:rsid w:val="00161D69"/>
    <w:rsid w:val="0016421B"/>
    <w:rsid w:val="00165DC7"/>
    <w:rsid w:val="00165F12"/>
    <w:rsid w:val="00166295"/>
    <w:rsid w:val="00166389"/>
    <w:rsid w:val="00166DD3"/>
    <w:rsid w:val="00167802"/>
    <w:rsid w:val="001709E5"/>
    <w:rsid w:val="00170F3C"/>
    <w:rsid w:val="001710C8"/>
    <w:rsid w:val="00171271"/>
    <w:rsid w:val="00171BD2"/>
    <w:rsid w:val="001728ED"/>
    <w:rsid w:val="00172B95"/>
    <w:rsid w:val="00172C58"/>
    <w:rsid w:val="00173BD0"/>
    <w:rsid w:val="00173BF6"/>
    <w:rsid w:val="00174D51"/>
    <w:rsid w:val="00174DD6"/>
    <w:rsid w:val="001753F3"/>
    <w:rsid w:val="00175466"/>
    <w:rsid w:val="001760AB"/>
    <w:rsid w:val="0017717E"/>
    <w:rsid w:val="001812B4"/>
    <w:rsid w:val="00181B6E"/>
    <w:rsid w:val="00182186"/>
    <w:rsid w:val="00183266"/>
    <w:rsid w:val="0018365D"/>
    <w:rsid w:val="00183E13"/>
    <w:rsid w:val="001845C9"/>
    <w:rsid w:val="00184908"/>
    <w:rsid w:val="00184AE6"/>
    <w:rsid w:val="00184D87"/>
    <w:rsid w:val="0018551B"/>
    <w:rsid w:val="00185F99"/>
    <w:rsid w:val="00186434"/>
    <w:rsid w:val="001866A2"/>
    <w:rsid w:val="00186BE2"/>
    <w:rsid w:val="00186F6C"/>
    <w:rsid w:val="001879B1"/>
    <w:rsid w:val="00187B45"/>
    <w:rsid w:val="001907F9"/>
    <w:rsid w:val="00191A4A"/>
    <w:rsid w:val="00191D66"/>
    <w:rsid w:val="00191F51"/>
    <w:rsid w:val="001923B0"/>
    <w:rsid w:val="0019276B"/>
    <w:rsid w:val="0019301C"/>
    <w:rsid w:val="001942DB"/>
    <w:rsid w:val="0019482C"/>
    <w:rsid w:val="00195895"/>
    <w:rsid w:val="0019636F"/>
    <w:rsid w:val="0019711F"/>
    <w:rsid w:val="00197440"/>
    <w:rsid w:val="00197E61"/>
    <w:rsid w:val="001A0375"/>
    <w:rsid w:val="001A0731"/>
    <w:rsid w:val="001A0F64"/>
    <w:rsid w:val="001A0F73"/>
    <w:rsid w:val="001A1205"/>
    <w:rsid w:val="001A247B"/>
    <w:rsid w:val="001A24C0"/>
    <w:rsid w:val="001A2C4B"/>
    <w:rsid w:val="001A3ECB"/>
    <w:rsid w:val="001A48A9"/>
    <w:rsid w:val="001A4B60"/>
    <w:rsid w:val="001A5AA0"/>
    <w:rsid w:val="001A6A9D"/>
    <w:rsid w:val="001A6E3D"/>
    <w:rsid w:val="001A7486"/>
    <w:rsid w:val="001A7B47"/>
    <w:rsid w:val="001B016C"/>
    <w:rsid w:val="001B15B6"/>
    <w:rsid w:val="001B2331"/>
    <w:rsid w:val="001B284B"/>
    <w:rsid w:val="001B2DED"/>
    <w:rsid w:val="001B33DD"/>
    <w:rsid w:val="001B3621"/>
    <w:rsid w:val="001B3714"/>
    <w:rsid w:val="001B3AA6"/>
    <w:rsid w:val="001B3FBD"/>
    <w:rsid w:val="001B4001"/>
    <w:rsid w:val="001B429F"/>
    <w:rsid w:val="001B4B4F"/>
    <w:rsid w:val="001B530D"/>
    <w:rsid w:val="001B530E"/>
    <w:rsid w:val="001B598D"/>
    <w:rsid w:val="001B5FB2"/>
    <w:rsid w:val="001B6F78"/>
    <w:rsid w:val="001B7569"/>
    <w:rsid w:val="001C041A"/>
    <w:rsid w:val="001C047F"/>
    <w:rsid w:val="001C0B49"/>
    <w:rsid w:val="001C1459"/>
    <w:rsid w:val="001C147F"/>
    <w:rsid w:val="001C2234"/>
    <w:rsid w:val="001C2391"/>
    <w:rsid w:val="001C2976"/>
    <w:rsid w:val="001C36FD"/>
    <w:rsid w:val="001C378B"/>
    <w:rsid w:val="001C3F3C"/>
    <w:rsid w:val="001C4164"/>
    <w:rsid w:val="001C42F5"/>
    <w:rsid w:val="001C4A1C"/>
    <w:rsid w:val="001C5507"/>
    <w:rsid w:val="001C6E0B"/>
    <w:rsid w:val="001D0697"/>
    <w:rsid w:val="001D0B19"/>
    <w:rsid w:val="001D1289"/>
    <w:rsid w:val="001D4668"/>
    <w:rsid w:val="001D4E1E"/>
    <w:rsid w:val="001D524D"/>
    <w:rsid w:val="001D57F1"/>
    <w:rsid w:val="001D5BEF"/>
    <w:rsid w:val="001D66B6"/>
    <w:rsid w:val="001D6A77"/>
    <w:rsid w:val="001D6B75"/>
    <w:rsid w:val="001E03EC"/>
    <w:rsid w:val="001E0C91"/>
    <w:rsid w:val="001E0F9C"/>
    <w:rsid w:val="001E1E8C"/>
    <w:rsid w:val="001E28B0"/>
    <w:rsid w:val="001E2E32"/>
    <w:rsid w:val="001E33E8"/>
    <w:rsid w:val="001E543C"/>
    <w:rsid w:val="001E5710"/>
    <w:rsid w:val="001E5943"/>
    <w:rsid w:val="001E6ABC"/>
    <w:rsid w:val="001E6B17"/>
    <w:rsid w:val="001E7AE3"/>
    <w:rsid w:val="001F111C"/>
    <w:rsid w:val="001F165B"/>
    <w:rsid w:val="001F1F43"/>
    <w:rsid w:val="001F21E5"/>
    <w:rsid w:val="001F30C0"/>
    <w:rsid w:val="001F44F6"/>
    <w:rsid w:val="001F464A"/>
    <w:rsid w:val="001F64F5"/>
    <w:rsid w:val="001F6623"/>
    <w:rsid w:val="001F6C4C"/>
    <w:rsid w:val="001F74F8"/>
    <w:rsid w:val="00200700"/>
    <w:rsid w:val="00200D6B"/>
    <w:rsid w:val="002010D5"/>
    <w:rsid w:val="00202224"/>
    <w:rsid w:val="0020267E"/>
    <w:rsid w:val="00202872"/>
    <w:rsid w:val="00202F96"/>
    <w:rsid w:val="00203BD4"/>
    <w:rsid w:val="00203BDD"/>
    <w:rsid w:val="0020542F"/>
    <w:rsid w:val="0020666C"/>
    <w:rsid w:val="002077D7"/>
    <w:rsid w:val="00207DA8"/>
    <w:rsid w:val="002108FD"/>
    <w:rsid w:val="00211BFE"/>
    <w:rsid w:val="00211C76"/>
    <w:rsid w:val="0021248F"/>
    <w:rsid w:val="00212F09"/>
    <w:rsid w:val="00213011"/>
    <w:rsid w:val="002134AF"/>
    <w:rsid w:val="00213D9F"/>
    <w:rsid w:val="0021431D"/>
    <w:rsid w:val="00214C6F"/>
    <w:rsid w:val="002166C8"/>
    <w:rsid w:val="00220270"/>
    <w:rsid w:val="00221031"/>
    <w:rsid w:val="00221BB1"/>
    <w:rsid w:val="0022232A"/>
    <w:rsid w:val="00222459"/>
    <w:rsid w:val="00222F71"/>
    <w:rsid w:val="00223221"/>
    <w:rsid w:val="002236EE"/>
    <w:rsid w:val="002237AD"/>
    <w:rsid w:val="00224615"/>
    <w:rsid w:val="00226FF1"/>
    <w:rsid w:val="002271A9"/>
    <w:rsid w:val="002302F7"/>
    <w:rsid w:val="002312B7"/>
    <w:rsid w:val="0023190B"/>
    <w:rsid w:val="00231B9F"/>
    <w:rsid w:val="0023286D"/>
    <w:rsid w:val="002329D3"/>
    <w:rsid w:val="00232AFB"/>
    <w:rsid w:val="002335DA"/>
    <w:rsid w:val="00233722"/>
    <w:rsid w:val="002343AB"/>
    <w:rsid w:val="00235C13"/>
    <w:rsid w:val="00235FBA"/>
    <w:rsid w:val="0023620F"/>
    <w:rsid w:val="002375D3"/>
    <w:rsid w:val="002379D3"/>
    <w:rsid w:val="00240511"/>
    <w:rsid w:val="00241A65"/>
    <w:rsid w:val="00242832"/>
    <w:rsid w:val="002430C5"/>
    <w:rsid w:val="00244B1D"/>
    <w:rsid w:val="002453D6"/>
    <w:rsid w:val="00245DE6"/>
    <w:rsid w:val="00247357"/>
    <w:rsid w:val="002473F5"/>
    <w:rsid w:val="00247CF0"/>
    <w:rsid w:val="00247E47"/>
    <w:rsid w:val="00250521"/>
    <w:rsid w:val="002509D8"/>
    <w:rsid w:val="00250AA5"/>
    <w:rsid w:val="00251E11"/>
    <w:rsid w:val="002523A6"/>
    <w:rsid w:val="00252BF0"/>
    <w:rsid w:val="00252C23"/>
    <w:rsid w:val="00252CB3"/>
    <w:rsid w:val="0025316B"/>
    <w:rsid w:val="0025334E"/>
    <w:rsid w:val="002536B7"/>
    <w:rsid w:val="00253971"/>
    <w:rsid w:val="00253A24"/>
    <w:rsid w:val="00253A79"/>
    <w:rsid w:val="002567D7"/>
    <w:rsid w:val="0025682B"/>
    <w:rsid w:val="00256E83"/>
    <w:rsid w:val="00257050"/>
    <w:rsid w:val="00257AB7"/>
    <w:rsid w:val="00257AB9"/>
    <w:rsid w:val="00257E01"/>
    <w:rsid w:val="00260314"/>
    <w:rsid w:val="00260E9E"/>
    <w:rsid w:val="002616E1"/>
    <w:rsid w:val="00261979"/>
    <w:rsid w:val="00262EB3"/>
    <w:rsid w:val="00262F8B"/>
    <w:rsid w:val="00263B7F"/>
    <w:rsid w:val="00263F74"/>
    <w:rsid w:val="00265018"/>
    <w:rsid w:val="00266147"/>
    <w:rsid w:val="00267A41"/>
    <w:rsid w:val="00270573"/>
    <w:rsid w:val="0027069A"/>
    <w:rsid w:val="00270E9A"/>
    <w:rsid w:val="00271616"/>
    <w:rsid w:val="00271E7C"/>
    <w:rsid w:val="00272364"/>
    <w:rsid w:val="00272526"/>
    <w:rsid w:val="00274714"/>
    <w:rsid w:val="002748C7"/>
    <w:rsid w:val="00274974"/>
    <w:rsid w:val="00274975"/>
    <w:rsid w:val="00275120"/>
    <w:rsid w:val="00276170"/>
    <w:rsid w:val="002763E9"/>
    <w:rsid w:val="00276E00"/>
    <w:rsid w:val="00277328"/>
    <w:rsid w:val="00277862"/>
    <w:rsid w:val="002804EE"/>
    <w:rsid w:val="002813C4"/>
    <w:rsid w:val="002816AC"/>
    <w:rsid w:val="00282712"/>
    <w:rsid w:val="002828EB"/>
    <w:rsid w:val="00283139"/>
    <w:rsid w:val="002835FC"/>
    <w:rsid w:val="002839B0"/>
    <w:rsid w:val="00283CA7"/>
    <w:rsid w:val="00283CF4"/>
    <w:rsid w:val="00284919"/>
    <w:rsid w:val="00284DA5"/>
    <w:rsid w:val="00285304"/>
    <w:rsid w:val="0028545D"/>
    <w:rsid w:val="002865CE"/>
    <w:rsid w:val="00287881"/>
    <w:rsid w:val="00287EE1"/>
    <w:rsid w:val="00290672"/>
    <w:rsid w:val="00290736"/>
    <w:rsid w:val="00291092"/>
    <w:rsid w:val="0029201F"/>
    <w:rsid w:val="00292300"/>
    <w:rsid w:val="00292419"/>
    <w:rsid w:val="002927CF"/>
    <w:rsid w:val="00292F19"/>
    <w:rsid w:val="002936CA"/>
    <w:rsid w:val="002944F7"/>
    <w:rsid w:val="00295013"/>
    <w:rsid w:val="0029519C"/>
    <w:rsid w:val="00295468"/>
    <w:rsid w:val="00295851"/>
    <w:rsid w:val="00295ECD"/>
    <w:rsid w:val="00296A1B"/>
    <w:rsid w:val="00297F6A"/>
    <w:rsid w:val="002A00D6"/>
    <w:rsid w:val="002A01FA"/>
    <w:rsid w:val="002A0CDF"/>
    <w:rsid w:val="002A2E31"/>
    <w:rsid w:val="002A2FFF"/>
    <w:rsid w:val="002A308B"/>
    <w:rsid w:val="002A30E5"/>
    <w:rsid w:val="002A3E5F"/>
    <w:rsid w:val="002A3EFD"/>
    <w:rsid w:val="002A3FFC"/>
    <w:rsid w:val="002A5133"/>
    <w:rsid w:val="002A518A"/>
    <w:rsid w:val="002A5371"/>
    <w:rsid w:val="002A5F41"/>
    <w:rsid w:val="002A7B59"/>
    <w:rsid w:val="002A7C49"/>
    <w:rsid w:val="002B1A88"/>
    <w:rsid w:val="002B29A8"/>
    <w:rsid w:val="002B4CD0"/>
    <w:rsid w:val="002B5250"/>
    <w:rsid w:val="002B5EF4"/>
    <w:rsid w:val="002B64E8"/>
    <w:rsid w:val="002B6C7B"/>
    <w:rsid w:val="002B7A56"/>
    <w:rsid w:val="002B7C79"/>
    <w:rsid w:val="002C00A7"/>
    <w:rsid w:val="002C010D"/>
    <w:rsid w:val="002C0127"/>
    <w:rsid w:val="002C02CA"/>
    <w:rsid w:val="002C031F"/>
    <w:rsid w:val="002C0504"/>
    <w:rsid w:val="002C08C5"/>
    <w:rsid w:val="002C0FC8"/>
    <w:rsid w:val="002C130A"/>
    <w:rsid w:val="002C1360"/>
    <w:rsid w:val="002C25C8"/>
    <w:rsid w:val="002C2CB6"/>
    <w:rsid w:val="002C3DFC"/>
    <w:rsid w:val="002C42FF"/>
    <w:rsid w:val="002C4EDD"/>
    <w:rsid w:val="002C4FAF"/>
    <w:rsid w:val="002C51F1"/>
    <w:rsid w:val="002C53F3"/>
    <w:rsid w:val="002C5A30"/>
    <w:rsid w:val="002C5F32"/>
    <w:rsid w:val="002C6ABD"/>
    <w:rsid w:val="002C7B4F"/>
    <w:rsid w:val="002C7E51"/>
    <w:rsid w:val="002C7FB0"/>
    <w:rsid w:val="002D1192"/>
    <w:rsid w:val="002D11ED"/>
    <w:rsid w:val="002D1422"/>
    <w:rsid w:val="002D18F0"/>
    <w:rsid w:val="002D1AE5"/>
    <w:rsid w:val="002D2488"/>
    <w:rsid w:val="002D2873"/>
    <w:rsid w:val="002D320A"/>
    <w:rsid w:val="002D35B3"/>
    <w:rsid w:val="002D3B01"/>
    <w:rsid w:val="002D446B"/>
    <w:rsid w:val="002D4483"/>
    <w:rsid w:val="002D4BB8"/>
    <w:rsid w:val="002D61CA"/>
    <w:rsid w:val="002D64D7"/>
    <w:rsid w:val="002D67FE"/>
    <w:rsid w:val="002D6A52"/>
    <w:rsid w:val="002D6AD4"/>
    <w:rsid w:val="002D7210"/>
    <w:rsid w:val="002D7512"/>
    <w:rsid w:val="002D7965"/>
    <w:rsid w:val="002D7D8A"/>
    <w:rsid w:val="002D7E72"/>
    <w:rsid w:val="002E0219"/>
    <w:rsid w:val="002E0400"/>
    <w:rsid w:val="002E0422"/>
    <w:rsid w:val="002E0E50"/>
    <w:rsid w:val="002E1298"/>
    <w:rsid w:val="002E15FE"/>
    <w:rsid w:val="002E2321"/>
    <w:rsid w:val="002E2C23"/>
    <w:rsid w:val="002E2E7F"/>
    <w:rsid w:val="002E36D6"/>
    <w:rsid w:val="002E3E1B"/>
    <w:rsid w:val="002E441F"/>
    <w:rsid w:val="002E50DA"/>
    <w:rsid w:val="002E676C"/>
    <w:rsid w:val="002E69CA"/>
    <w:rsid w:val="002E6D13"/>
    <w:rsid w:val="002E6D60"/>
    <w:rsid w:val="002E794B"/>
    <w:rsid w:val="002F13B9"/>
    <w:rsid w:val="002F1F18"/>
    <w:rsid w:val="002F21AE"/>
    <w:rsid w:val="002F271B"/>
    <w:rsid w:val="002F2A0E"/>
    <w:rsid w:val="002F2FC4"/>
    <w:rsid w:val="002F4238"/>
    <w:rsid w:val="002F4499"/>
    <w:rsid w:val="002F54DC"/>
    <w:rsid w:val="002F588B"/>
    <w:rsid w:val="002F5990"/>
    <w:rsid w:val="002F657D"/>
    <w:rsid w:val="002F68EE"/>
    <w:rsid w:val="002F6D54"/>
    <w:rsid w:val="002F6EE2"/>
    <w:rsid w:val="002F7EF3"/>
    <w:rsid w:val="0030020A"/>
    <w:rsid w:val="0030046A"/>
    <w:rsid w:val="00300B6F"/>
    <w:rsid w:val="0030111B"/>
    <w:rsid w:val="00301D2B"/>
    <w:rsid w:val="003031C3"/>
    <w:rsid w:val="00304DC5"/>
    <w:rsid w:val="00305F31"/>
    <w:rsid w:val="00306903"/>
    <w:rsid w:val="00307CBB"/>
    <w:rsid w:val="0031179D"/>
    <w:rsid w:val="00313875"/>
    <w:rsid w:val="003139AB"/>
    <w:rsid w:val="00313C4A"/>
    <w:rsid w:val="003144D6"/>
    <w:rsid w:val="00314BD3"/>
    <w:rsid w:val="00315440"/>
    <w:rsid w:val="00316CD8"/>
    <w:rsid w:val="00317189"/>
    <w:rsid w:val="0031738B"/>
    <w:rsid w:val="00320B6C"/>
    <w:rsid w:val="003211A6"/>
    <w:rsid w:val="00322032"/>
    <w:rsid w:val="003222DF"/>
    <w:rsid w:val="00322322"/>
    <w:rsid w:val="00322996"/>
    <w:rsid w:val="00322A43"/>
    <w:rsid w:val="00323078"/>
    <w:rsid w:val="00323C25"/>
    <w:rsid w:val="00323F81"/>
    <w:rsid w:val="00324A2C"/>
    <w:rsid w:val="00327612"/>
    <w:rsid w:val="00327995"/>
    <w:rsid w:val="00327C3F"/>
    <w:rsid w:val="0033024B"/>
    <w:rsid w:val="003302C0"/>
    <w:rsid w:val="00330BBB"/>
    <w:rsid w:val="00330BED"/>
    <w:rsid w:val="00330F6E"/>
    <w:rsid w:val="00330FF0"/>
    <w:rsid w:val="0033142F"/>
    <w:rsid w:val="0033169E"/>
    <w:rsid w:val="00331719"/>
    <w:rsid w:val="00331D71"/>
    <w:rsid w:val="00331EF9"/>
    <w:rsid w:val="00331F23"/>
    <w:rsid w:val="00331F32"/>
    <w:rsid w:val="003326E9"/>
    <w:rsid w:val="00332D3A"/>
    <w:rsid w:val="0033314A"/>
    <w:rsid w:val="00333271"/>
    <w:rsid w:val="003334DE"/>
    <w:rsid w:val="003336C0"/>
    <w:rsid w:val="00333E25"/>
    <w:rsid w:val="003344E9"/>
    <w:rsid w:val="003346C3"/>
    <w:rsid w:val="00334ACC"/>
    <w:rsid w:val="00334CA6"/>
    <w:rsid w:val="00335200"/>
    <w:rsid w:val="00335BBE"/>
    <w:rsid w:val="0033626F"/>
    <w:rsid w:val="0033672F"/>
    <w:rsid w:val="00337F1B"/>
    <w:rsid w:val="00337FAE"/>
    <w:rsid w:val="003400E8"/>
    <w:rsid w:val="00340316"/>
    <w:rsid w:val="003403CA"/>
    <w:rsid w:val="00340455"/>
    <w:rsid w:val="00340D89"/>
    <w:rsid w:val="00340F24"/>
    <w:rsid w:val="00341383"/>
    <w:rsid w:val="003418BF"/>
    <w:rsid w:val="0034358D"/>
    <w:rsid w:val="0034381F"/>
    <w:rsid w:val="003438EC"/>
    <w:rsid w:val="00346223"/>
    <w:rsid w:val="00346415"/>
    <w:rsid w:val="003471AE"/>
    <w:rsid w:val="003471B3"/>
    <w:rsid w:val="00347673"/>
    <w:rsid w:val="0034778E"/>
    <w:rsid w:val="003501B5"/>
    <w:rsid w:val="00350AAD"/>
    <w:rsid w:val="00350E2E"/>
    <w:rsid w:val="00351243"/>
    <w:rsid w:val="00351CCD"/>
    <w:rsid w:val="00351DBC"/>
    <w:rsid w:val="00351E10"/>
    <w:rsid w:val="00352BD2"/>
    <w:rsid w:val="00353485"/>
    <w:rsid w:val="00353632"/>
    <w:rsid w:val="003538A4"/>
    <w:rsid w:val="00353CD2"/>
    <w:rsid w:val="00354164"/>
    <w:rsid w:val="0035498A"/>
    <w:rsid w:val="00354D93"/>
    <w:rsid w:val="00354DDD"/>
    <w:rsid w:val="00355760"/>
    <w:rsid w:val="0035577F"/>
    <w:rsid w:val="00356438"/>
    <w:rsid w:val="003565B5"/>
    <w:rsid w:val="00356F89"/>
    <w:rsid w:val="003601C4"/>
    <w:rsid w:val="003612D7"/>
    <w:rsid w:val="0036141F"/>
    <w:rsid w:val="00362CE5"/>
    <w:rsid w:val="00364026"/>
    <w:rsid w:val="00364203"/>
    <w:rsid w:val="00365ACE"/>
    <w:rsid w:val="0036656C"/>
    <w:rsid w:val="00366CC9"/>
    <w:rsid w:val="00366E6D"/>
    <w:rsid w:val="003703F3"/>
    <w:rsid w:val="00370F0F"/>
    <w:rsid w:val="00371E45"/>
    <w:rsid w:val="0037266C"/>
    <w:rsid w:val="00374F24"/>
    <w:rsid w:val="00375D3B"/>
    <w:rsid w:val="00375E4C"/>
    <w:rsid w:val="00377BCA"/>
    <w:rsid w:val="00377DC3"/>
    <w:rsid w:val="003803BE"/>
    <w:rsid w:val="003803C2"/>
    <w:rsid w:val="003803E2"/>
    <w:rsid w:val="00381B5F"/>
    <w:rsid w:val="00381D21"/>
    <w:rsid w:val="00382D71"/>
    <w:rsid w:val="00383898"/>
    <w:rsid w:val="003838E3"/>
    <w:rsid w:val="00383B0C"/>
    <w:rsid w:val="00383FDE"/>
    <w:rsid w:val="0038402D"/>
    <w:rsid w:val="003841F3"/>
    <w:rsid w:val="003843FD"/>
    <w:rsid w:val="00384B55"/>
    <w:rsid w:val="00384DE4"/>
    <w:rsid w:val="0038524D"/>
    <w:rsid w:val="00385649"/>
    <w:rsid w:val="003856B1"/>
    <w:rsid w:val="00385D18"/>
    <w:rsid w:val="003866F4"/>
    <w:rsid w:val="00386C34"/>
    <w:rsid w:val="00387B28"/>
    <w:rsid w:val="0039007A"/>
    <w:rsid w:val="00391CE2"/>
    <w:rsid w:val="00392552"/>
    <w:rsid w:val="00392573"/>
    <w:rsid w:val="00392875"/>
    <w:rsid w:val="00393568"/>
    <w:rsid w:val="00393DE3"/>
    <w:rsid w:val="00393ED1"/>
    <w:rsid w:val="00393FF7"/>
    <w:rsid w:val="00394073"/>
    <w:rsid w:val="00394881"/>
    <w:rsid w:val="0039576B"/>
    <w:rsid w:val="00396E82"/>
    <w:rsid w:val="00397ACC"/>
    <w:rsid w:val="00397C74"/>
    <w:rsid w:val="003A0A3C"/>
    <w:rsid w:val="003A101D"/>
    <w:rsid w:val="003A11C0"/>
    <w:rsid w:val="003A1733"/>
    <w:rsid w:val="003A1DD6"/>
    <w:rsid w:val="003A1FB3"/>
    <w:rsid w:val="003A2C3C"/>
    <w:rsid w:val="003A3A8D"/>
    <w:rsid w:val="003A5582"/>
    <w:rsid w:val="003A5774"/>
    <w:rsid w:val="003A57A5"/>
    <w:rsid w:val="003A5B2E"/>
    <w:rsid w:val="003A625C"/>
    <w:rsid w:val="003A645C"/>
    <w:rsid w:val="003A6A63"/>
    <w:rsid w:val="003B0421"/>
    <w:rsid w:val="003B1146"/>
    <w:rsid w:val="003B11EB"/>
    <w:rsid w:val="003B126C"/>
    <w:rsid w:val="003B17F0"/>
    <w:rsid w:val="003B188A"/>
    <w:rsid w:val="003B21C6"/>
    <w:rsid w:val="003B276D"/>
    <w:rsid w:val="003B27EB"/>
    <w:rsid w:val="003B2A9A"/>
    <w:rsid w:val="003B2B33"/>
    <w:rsid w:val="003B30A3"/>
    <w:rsid w:val="003B396C"/>
    <w:rsid w:val="003B3F5F"/>
    <w:rsid w:val="003B4257"/>
    <w:rsid w:val="003B4630"/>
    <w:rsid w:val="003B4792"/>
    <w:rsid w:val="003B51A4"/>
    <w:rsid w:val="003B5F03"/>
    <w:rsid w:val="003B60B8"/>
    <w:rsid w:val="003B61F9"/>
    <w:rsid w:val="003B6EA7"/>
    <w:rsid w:val="003B74C2"/>
    <w:rsid w:val="003C087B"/>
    <w:rsid w:val="003C11A5"/>
    <w:rsid w:val="003C1816"/>
    <w:rsid w:val="003C1D19"/>
    <w:rsid w:val="003C1DD8"/>
    <w:rsid w:val="003C2513"/>
    <w:rsid w:val="003C2A01"/>
    <w:rsid w:val="003C2A7B"/>
    <w:rsid w:val="003C2F0B"/>
    <w:rsid w:val="003C3979"/>
    <w:rsid w:val="003C3D7C"/>
    <w:rsid w:val="003C403D"/>
    <w:rsid w:val="003C455A"/>
    <w:rsid w:val="003C6966"/>
    <w:rsid w:val="003C6C0C"/>
    <w:rsid w:val="003C7B39"/>
    <w:rsid w:val="003D041F"/>
    <w:rsid w:val="003D08A7"/>
    <w:rsid w:val="003D0AD6"/>
    <w:rsid w:val="003D103A"/>
    <w:rsid w:val="003D2299"/>
    <w:rsid w:val="003D2AE7"/>
    <w:rsid w:val="003D317F"/>
    <w:rsid w:val="003D3C44"/>
    <w:rsid w:val="003D3F81"/>
    <w:rsid w:val="003D508C"/>
    <w:rsid w:val="003D57D7"/>
    <w:rsid w:val="003D5AF4"/>
    <w:rsid w:val="003D68EC"/>
    <w:rsid w:val="003D6C76"/>
    <w:rsid w:val="003D7CA6"/>
    <w:rsid w:val="003D7D65"/>
    <w:rsid w:val="003E0506"/>
    <w:rsid w:val="003E0719"/>
    <w:rsid w:val="003E1B5E"/>
    <w:rsid w:val="003E1F95"/>
    <w:rsid w:val="003E2F92"/>
    <w:rsid w:val="003E3B7B"/>
    <w:rsid w:val="003E3DBE"/>
    <w:rsid w:val="003E479C"/>
    <w:rsid w:val="003E4824"/>
    <w:rsid w:val="003E4B28"/>
    <w:rsid w:val="003E6213"/>
    <w:rsid w:val="003E6D05"/>
    <w:rsid w:val="003E7A5C"/>
    <w:rsid w:val="003F09A2"/>
    <w:rsid w:val="003F11F1"/>
    <w:rsid w:val="003F143E"/>
    <w:rsid w:val="003F3482"/>
    <w:rsid w:val="003F5681"/>
    <w:rsid w:val="003F583F"/>
    <w:rsid w:val="003F5F82"/>
    <w:rsid w:val="003F6604"/>
    <w:rsid w:val="003F683E"/>
    <w:rsid w:val="003F6B4F"/>
    <w:rsid w:val="003F6D04"/>
    <w:rsid w:val="003F77E6"/>
    <w:rsid w:val="003F7A57"/>
    <w:rsid w:val="0040024C"/>
    <w:rsid w:val="00400806"/>
    <w:rsid w:val="00400FA0"/>
    <w:rsid w:val="00401313"/>
    <w:rsid w:val="0040146B"/>
    <w:rsid w:val="00401B37"/>
    <w:rsid w:val="00402C3A"/>
    <w:rsid w:val="00403985"/>
    <w:rsid w:val="004039C4"/>
    <w:rsid w:val="00404275"/>
    <w:rsid w:val="00404A07"/>
    <w:rsid w:val="00404BE4"/>
    <w:rsid w:val="00404CA9"/>
    <w:rsid w:val="00404F87"/>
    <w:rsid w:val="0040645C"/>
    <w:rsid w:val="00406856"/>
    <w:rsid w:val="0040689D"/>
    <w:rsid w:val="00407B17"/>
    <w:rsid w:val="0041052F"/>
    <w:rsid w:val="00410E2D"/>
    <w:rsid w:val="0041134E"/>
    <w:rsid w:val="00411B44"/>
    <w:rsid w:val="00412904"/>
    <w:rsid w:val="00412A54"/>
    <w:rsid w:val="004130F9"/>
    <w:rsid w:val="00414B23"/>
    <w:rsid w:val="00415208"/>
    <w:rsid w:val="00415D81"/>
    <w:rsid w:val="00416CA3"/>
    <w:rsid w:val="00416ED7"/>
    <w:rsid w:val="004172B9"/>
    <w:rsid w:val="004202B4"/>
    <w:rsid w:val="00422FF4"/>
    <w:rsid w:val="00425B43"/>
    <w:rsid w:val="0042643D"/>
    <w:rsid w:val="00426CE0"/>
    <w:rsid w:val="004278C2"/>
    <w:rsid w:val="00427C5A"/>
    <w:rsid w:val="004305BD"/>
    <w:rsid w:val="004310B6"/>
    <w:rsid w:val="00431692"/>
    <w:rsid w:val="00431EF2"/>
    <w:rsid w:val="00432324"/>
    <w:rsid w:val="004323DE"/>
    <w:rsid w:val="00432EC2"/>
    <w:rsid w:val="00433946"/>
    <w:rsid w:val="00433A86"/>
    <w:rsid w:val="0043461B"/>
    <w:rsid w:val="00435478"/>
    <w:rsid w:val="00435604"/>
    <w:rsid w:val="00436244"/>
    <w:rsid w:val="00436B08"/>
    <w:rsid w:val="00437AC2"/>
    <w:rsid w:val="00437CF5"/>
    <w:rsid w:val="00437EAE"/>
    <w:rsid w:val="0044059A"/>
    <w:rsid w:val="004417E0"/>
    <w:rsid w:val="00441B20"/>
    <w:rsid w:val="00442295"/>
    <w:rsid w:val="0044254C"/>
    <w:rsid w:val="00442900"/>
    <w:rsid w:val="00444136"/>
    <w:rsid w:val="00445D8D"/>
    <w:rsid w:val="004467F1"/>
    <w:rsid w:val="00446E51"/>
    <w:rsid w:val="004470C5"/>
    <w:rsid w:val="00447798"/>
    <w:rsid w:val="00447C06"/>
    <w:rsid w:val="004509C4"/>
    <w:rsid w:val="004509FB"/>
    <w:rsid w:val="00450D76"/>
    <w:rsid w:val="0045107E"/>
    <w:rsid w:val="00451B09"/>
    <w:rsid w:val="004521B4"/>
    <w:rsid w:val="004529C9"/>
    <w:rsid w:val="00452E72"/>
    <w:rsid w:val="0045315F"/>
    <w:rsid w:val="004532EA"/>
    <w:rsid w:val="00453864"/>
    <w:rsid w:val="00453C9E"/>
    <w:rsid w:val="004547F7"/>
    <w:rsid w:val="00454950"/>
    <w:rsid w:val="00454C71"/>
    <w:rsid w:val="00454ED4"/>
    <w:rsid w:val="00454FD0"/>
    <w:rsid w:val="00455428"/>
    <w:rsid w:val="004556F2"/>
    <w:rsid w:val="00455AD9"/>
    <w:rsid w:val="004564BB"/>
    <w:rsid w:val="004578D6"/>
    <w:rsid w:val="00460D4E"/>
    <w:rsid w:val="004614F9"/>
    <w:rsid w:val="0046169B"/>
    <w:rsid w:val="00461F7D"/>
    <w:rsid w:val="00462882"/>
    <w:rsid w:val="00462CBE"/>
    <w:rsid w:val="00462E00"/>
    <w:rsid w:val="004635BD"/>
    <w:rsid w:val="00463CE7"/>
    <w:rsid w:val="00463DE6"/>
    <w:rsid w:val="00464B1E"/>
    <w:rsid w:val="00465178"/>
    <w:rsid w:val="004709CC"/>
    <w:rsid w:val="00470ADC"/>
    <w:rsid w:val="00470AE6"/>
    <w:rsid w:val="0047109A"/>
    <w:rsid w:val="004714A0"/>
    <w:rsid w:val="004715C5"/>
    <w:rsid w:val="00471EF0"/>
    <w:rsid w:val="004735EE"/>
    <w:rsid w:val="00474509"/>
    <w:rsid w:val="00474F19"/>
    <w:rsid w:val="00475578"/>
    <w:rsid w:val="00475686"/>
    <w:rsid w:val="00475A6E"/>
    <w:rsid w:val="004761E7"/>
    <w:rsid w:val="00476885"/>
    <w:rsid w:val="004769F6"/>
    <w:rsid w:val="00476DBA"/>
    <w:rsid w:val="00477FE3"/>
    <w:rsid w:val="00480602"/>
    <w:rsid w:val="00480967"/>
    <w:rsid w:val="00480F89"/>
    <w:rsid w:val="004837C7"/>
    <w:rsid w:val="00483DB6"/>
    <w:rsid w:val="00484058"/>
    <w:rsid w:val="004844BB"/>
    <w:rsid w:val="00484D69"/>
    <w:rsid w:val="00484F97"/>
    <w:rsid w:val="00485899"/>
    <w:rsid w:val="004868D5"/>
    <w:rsid w:val="004877F0"/>
    <w:rsid w:val="0048789C"/>
    <w:rsid w:val="00487CDA"/>
    <w:rsid w:val="00490228"/>
    <w:rsid w:val="004904B4"/>
    <w:rsid w:val="00490D61"/>
    <w:rsid w:val="0049167B"/>
    <w:rsid w:val="004917E2"/>
    <w:rsid w:val="00491BF0"/>
    <w:rsid w:val="00492072"/>
    <w:rsid w:val="00492412"/>
    <w:rsid w:val="004926EE"/>
    <w:rsid w:val="00492B47"/>
    <w:rsid w:val="004937ED"/>
    <w:rsid w:val="00494097"/>
    <w:rsid w:val="004948B3"/>
    <w:rsid w:val="00494C86"/>
    <w:rsid w:val="004954D2"/>
    <w:rsid w:val="00495A1D"/>
    <w:rsid w:val="0049671D"/>
    <w:rsid w:val="00496A75"/>
    <w:rsid w:val="00496D69"/>
    <w:rsid w:val="00497218"/>
    <w:rsid w:val="004A06F7"/>
    <w:rsid w:val="004A0833"/>
    <w:rsid w:val="004A1EAF"/>
    <w:rsid w:val="004A27C3"/>
    <w:rsid w:val="004A3343"/>
    <w:rsid w:val="004A3C81"/>
    <w:rsid w:val="004A41CD"/>
    <w:rsid w:val="004A4222"/>
    <w:rsid w:val="004A4527"/>
    <w:rsid w:val="004A4DBE"/>
    <w:rsid w:val="004A4EB5"/>
    <w:rsid w:val="004A7294"/>
    <w:rsid w:val="004A7AB7"/>
    <w:rsid w:val="004B0842"/>
    <w:rsid w:val="004B118E"/>
    <w:rsid w:val="004B124E"/>
    <w:rsid w:val="004B3E1E"/>
    <w:rsid w:val="004B4ACD"/>
    <w:rsid w:val="004B5BC9"/>
    <w:rsid w:val="004B5E06"/>
    <w:rsid w:val="004B60D5"/>
    <w:rsid w:val="004B6605"/>
    <w:rsid w:val="004B79CF"/>
    <w:rsid w:val="004C0251"/>
    <w:rsid w:val="004C05D6"/>
    <w:rsid w:val="004C0786"/>
    <w:rsid w:val="004C07D0"/>
    <w:rsid w:val="004C0C8F"/>
    <w:rsid w:val="004C1569"/>
    <w:rsid w:val="004C1CBB"/>
    <w:rsid w:val="004C2689"/>
    <w:rsid w:val="004C32AF"/>
    <w:rsid w:val="004C3870"/>
    <w:rsid w:val="004C3A85"/>
    <w:rsid w:val="004C3D66"/>
    <w:rsid w:val="004C42C5"/>
    <w:rsid w:val="004C58ED"/>
    <w:rsid w:val="004C5B02"/>
    <w:rsid w:val="004C5CE8"/>
    <w:rsid w:val="004C6DDF"/>
    <w:rsid w:val="004D0170"/>
    <w:rsid w:val="004D0311"/>
    <w:rsid w:val="004D03E9"/>
    <w:rsid w:val="004D05F5"/>
    <w:rsid w:val="004D1680"/>
    <w:rsid w:val="004D27BB"/>
    <w:rsid w:val="004D3DCF"/>
    <w:rsid w:val="004D47F9"/>
    <w:rsid w:val="004D56D1"/>
    <w:rsid w:val="004D5D22"/>
    <w:rsid w:val="004D6EE2"/>
    <w:rsid w:val="004E0039"/>
    <w:rsid w:val="004E0C1F"/>
    <w:rsid w:val="004E1C1A"/>
    <w:rsid w:val="004E438F"/>
    <w:rsid w:val="004E4A27"/>
    <w:rsid w:val="004E5004"/>
    <w:rsid w:val="004E5DA3"/>
    <w:rsid w:val="004E5EB2"/>
    <w:rsid w:val="004E63A7"/>
    <w:rsid w:val="004E6628"/>
    <w:rsid w:val="004E67F9"/>
    <w:rsid w:val="004E6FC2"/>
    <w:rsid w:val="004E74EC"/>
    <w:rsid w:val="004F11EA"/>
    <w:rsid w:val="004F157C"/>
    <w:rsid w:val="004F1697"/>
    <w:rsid w:val="004F1E6B"/>
    <w:rsid w:val="004F2602"/>
    <w:rsid w:val="004F26B0"/>
    <w:rsid w:val="004F53F9"/>
    <w:rsid w:val="004F60CB"/>
    <w:rsid w:val="004F6C4A"/>
    <w:rsid w:val="004F7537"/>
    <w:rsid w:val="0050053D"/>
    <w:rsid w:val="005008C0"/>
    <w:rsid w:val="00500CD7"/>
    <w:rsid w:val="005018FE"/>
    <w:rsid w:val="00501930"/>
    <w:rsid w:val="00501DBC"/>
    <w:rsid w:val="00502BF9"/>
    <w:rsid w:val="00503027"/>
    <w:rsid w:val="0050331A"/>
    <w:rsid w:val="005034FD"/>
    <w:rsid w:val="005038A5"/>
    <w:rsid w:val="005039B4"/>
    <w:rsid w:val="00503D7D"/>
    <w:rsid w:val="00503DFB"/>
    <w:rsid w:val="0050401C"/>
    <w:rsid w:val="0050497E"/>
    <w:rsid w:val="00504BAF"/>
    <w:rsid w:val="00504EC6"/>
    <w:rsid w:val="00504FC6"/>
    <w:rsid w:val="005053C5"/>
    <w:rsid w:val="005055DA"/>
    <w:rsid w:val="0050631E"/>
    <w:rsid w:val="00506DB8"/>
    <w:rsid w:val="00507598"/>
    <w:rsid w:val="005077EE"/>
    <w:rsid w:val="00507F32"/>
    <w:rsid w:val="00511C21"/>
    <w:rsid w:val="00511E1C"/>
    <w:rsid w:val="00512C9C"/>
    <w:rsid w:val="0051370D"/>
    <w:rsid w:val="00513B3F"/>
    <w:rsid w:val="00513CF7"/>
    <w:rsid w:val="00514695"/>
    <w:rsid w:val="00515709"/>
    <w:rsid w:val="005157D3"/>
    <w:rsid w:val="005171A9"/>
    <w:rsid w:val="00517217"/>
    <w:rsid w:val="00520E03"/>
    <w:rsid w:val="00521855"/>
    <w:rsid w:val="0052268F"/>
    <w:rsid w:val="00522D21"/>
    <w:rsid w:val="005231FA"/>
    <w:rsid w:val="00523495"/>
    <w:rsid w:val="0052389C"/>
    <w:rsid w:val="00523EDE"/>
    <w:rsid w:val="00524A6A"/>
    <w:rsid w:val="005250C4"/>
    <w:rsid w:val="005266ED"/>
    <w:rsid w:val="00526EE7"/>
    <w:rsid w:val="00527821"/>
    <w:rsid w:val="005300B3"/>
    <w:rsid w:val="00530EC6"/>
    <w:rsid w:val="0053215E"/>
    <w:rsid w:val="00533337"/>
    <w:rsid w:val="005333C3"/>
    <w:rsid w:val="00533453"/>
    <w:rsid w:val="0053394C"/>
    <w:rsid w:val="00533C07"/>
    <w:rsid w:val="00533EE3"/>
    <w:rsid w:val="00534765"/>
    <w:rsid w:val="00534781"/>
    <w:rsid w:val="00535355"/>
    <w:rsid w:val="00535442"/>
    <w:rsid w:val="0053610A"/>
    <w:rsid w:val="005363E5"/>
    <w:rsid w:val="0053644E"/>
    <w:rsid w:val="00536900"/>
    <w:rsid w:val="0053700F"/>
    <w:rsid w:val="005377CE"/>
    <w:rsid w:val="005404A2"/>
    <w:rsid w:val="00541820"/>
    <w:rsid w:val="00541BC9"/>
    <w:rsid w:val="00541F1E"/>
    <w:rsid w:val="00543F1F"/>
    <w:rsid w:val="005445FC"/>
    <w:rsid w:val="00545342"/>
    <w:rsid w:val="00545D91"/>
    <w:rsid w:val="00545ECE"/>
    <w:rsid w:val="00546813"/>
    <w:rsid w:val="00546A71"/>
    <w:rsid w:val="00547966"/>
    <w:rsid w:val="00547EA5"/>
    <w:rsid w:val="00551C34"/>
    <w:rsid w:val="00552200"/>
    <w:rsid w:val="00553D68"/>
    <w:rsid w:val="0055525A"/>
    <w:rsid w:val="00555A8B"/>
    <w:rsid w:val="0055611A"/>
    <w:rsid w:val="005568C9"/>
    <w:rsid w:val="00556D40"/>
    <w:rsid w:val="005579A5"/>
    <w:rsid w:val="005612CB"/>
    <w:rsid w:val="0056179B"/>
    <w:rsid w:val="00563CEE"/>
    <w:rsid w:val="0056472C"/>
    <w:rsid w:val="0056546C"/>
    <w:rsid w:val="005664B8"/>
    <w:rsid w:val="00566AAA"/>
    <w:rsid w:val="00567EEA"/>
    <w:rsid w:val="00571E6E"/>
    <w:rsid w:val="005726FC"/>
    <w:rsid w:val="005727BE"/>
    <w:rsid w:val="005736C7"/>
    <w:rsid w:val="0057425D"/>
    <w:rsid w:val="005750A9"/>
    <w:rsid w:val="00575228"/>
    <w:rsid w:val="00576121"/>
    <w:rsid w:val="0057694D"/>
    <w:rsid w:val="00576BE8"/>
    <w:rsid w:val="00576C05"/>
    <w:rsid w:val="00576E26"/>
    <w:rsid w:val="005772AF"/>
    <w:rsid w:val="00577ADC"/>
    <w:rsid w:val="00580171"/>
    <w:rsid w:val="005805BE"/>
    <w:rsid w:val="00580F33"/>
    <w:rsid w:val="00580FBF"/>
    <w:rsid w:val="00581173"/>
    <w:rsid w:val="00581701"/>
    <w:rsid w:val="00581B86"/>
    <w:rsid w:val="005822BC"/>
    <w:rsid w:val="0058257D"/>
    <w:rsid w:val="00582B91"/>
    <w:rsid w:val="00582D7C"/>
    <w:rsid w:val="00582FEC"/>
    <w:rsid w:val="005832D2"/>
    <w:rsid w:val="00583B69"/>
    <w:rsid w:val="00584187"/>
    <w:rsid w:val="005848B7"/>
    <w:rsid w:val="00585846"/>
    <w:rsid w:val="005860D8"/>
    <w:rsid w:val="00586941"/>
    <w:rsid w:val="00590105"/>
    <w:rsid w:val="0059063A"/>
    <w:rsid w:val="00590BB4"/>
    <w:rsid w:val="00591E4E"/>
    <w:rsid w:val="00591E6B"/>
    <w:rsid w:val="00591FFB"/>
    <w:rsid w:val="0059257A"/>
    <w:rsid w:val="00592852"/>
    <w:rsid w:val="005934E3"/>
    <w:rsid w:val="00593674"/>
    <w:rsid w:val="005937F2"/>
    <w:rsid w:val="00594CDD"/>
    <w:rsid w:val="005953B9"/>
    <w:rsid w:val="0059559C"/>
    <w:rsid w:val="00596015"/>
    <w:rsid w:val="0059636D"/>
    <w:rsid w:val="00596505"/>
    <w:rsid w:val="00597576"/>
    <w:rsid w:val="005977BA"/>
    <w:rsid w:val="00597E35"/>
    <w:rsid w:val="005A0A4A"/>
    <w:rsid w:val="005A0CB7"/>
    <w:rsid w:val="005A1CD5"/>
    <w:rsid w:val="005A1ED5"/>
    <w:rsid w:val="005A2479"/>
    <w:rsid w:val="005A3B8E"/>
    <w:rsid w:val="005A3C91"/>
    <w:rsid w:val="005A3CA7"/>
    <w:rsid w:val="005A41FB"/>
    <w:rsid w:val="005A4C79"/>
    <w:rsid w:val="005A4DEE"/>
    <w:rsid w:val="005A4E92"/>
    <w:rsid w:val="005A4FEF"/>
    <w:rsid w:val="005A5064"/>
    <w:rsid w:val="005A58D0"/>
    <w:rsid w:val="005A65AF"/>
    <w:rsid w:val="005A6686"/>
    <w:rsid w:val="005A66D5"/>
    <w:rsid w:val="005A714A"/>
    <w:rsid w:val="005A74F9"/>
    <w:rsid w:val="005A7A7C"/>
    <w:rsid w:val="005B0705"/>
    <w:rsid w:val="005B0A78"/>
    <w:rsid w:val="005B0BAC"/>
    <w:rsid w:val="005B0E0D"/>
    <w:rsid w:val="005B206B"/>
    <w:rsid w:val="005B2965"/>
    <w:rsid w:val="005B2A04"/>
    <w:rsid w:val="005B2B79"/>
    <w:rsid w:val="005B2C93"/>
    <w:rsid w:val="005B2D50"/>
    <w:rsid w:val="005B2DF6"/>
    <w:rsid w:val="005B3807"/>
    <w:rsid w:val="005B3DD9"/>
    <w:rsid w:val="005B4289"/>
    <w:rsid w:val="005B43B9"/>
    <w:rsid w:val="005B483C"/>
    <w:rsid w:val="005B6261"/>
    <w:rsid w:val="005B62B7"/>
    <w:rsid w:val="005C09F3"/>
    <w:rsid w:val="005C0C5B"/>
    <w:rsid w:val="005C10D4"/>
    <w:rsid w:val="005C1894"/>
    <w:rsid w:val="005C25FC"/>
    <w:rsid w:val="005C260C"/>
    <w:rsid w:val="005C277A"/>
    <w:rsid w:val="005C314D"/>
    <w:rsid w:val="005C3E6C"/>
    <w:rsid w:val="005C569A"/>
    <w:rsid w:val="005C5D53"/>
    <w:rsid w:val="005C7BD4"/>
    <w:rsid w:val="005D00CD"/>
    <w:rsid w:val="005D1134"/>
    <w:rsid w:val="005D176E"/>
    <w:rsid w:val="005D1E98"/>
    <w:rsid w:val="005D219E"/>
    <w:rsid w:val="005D22E8"/>
    <w:rsid w:val="005D290A"/>
    <w:rsid w:val="005D2AF6"/>
    <w:rsid w:val="005D31A0"/>
    <w:rsid w:val="005D36DD"/>
    <w:rsid w:val="005D3B51"/>
    <w:rsid w:val="005D4285"/>
    <w:rsid w:val="005D4EC9"/>
    <w:rsid w:val="005D5525"/>
    <w:rsid w:val="005D61F7"/>
    <w:rsid w:val="005D6B48"/>
    <w:rsid w:val="005D79FD"/>
    <w:rsid w:val="005D7AF0"/>
    <w:rsid w:val="005E0D7B"/>
    <w:rsid w:val="005E12A8"/>
    <w:rsid w:val="005E12D1"/>
    <w:rsid w:val="005E1662"/>
    <w:rsid w:val="005E16BF"/>
    <w:rsid w:val="005E312B"/>
    <w:rsid w:val="005E37C1"/>
    <w:rsid w:val="005E4DDC"/>
    <w:rsid w:val="005E51F3"/>
    <w:rsid w:val="005E5463"/>
    <w:rsid w:val="005E5E70"/>
    <w:rsid w:val="005E62F1"/>
    <w:rsid w:val="005E6320"/>
    <w:rsid w:val="005E714A"/>
    <w:rsid w:val="005E72BF"/>
    <w:rsid w:val="005F1B5D"/>
    <w:rsid w:val="005F1EB5"/>
    <w:rsid w:val="005F29D3"/>
    <w:rsid w:val="005F3A37"/>
    <w:rsid w:val="005F4411"/>
    <w:rsid w:val="005F551F"/>
    <w:rsid w:val="005F5E81"/>
    <w:rsid w:val="005F5F22"/>
    <w:rsid w:val="005F62C0"/>
    <w:rsid w:val="005F6780"/>
    <w:rsid w:val="005F6AC6"/>
    <w:rsid w:val="005F6B21"/>
    <w:rsid w:val="005F7744"/>
    <w:rsid w:val="005F7A7D"/>
    <w:rsid w:val="00600581"/>
    <w:rsid w:val="006007A2"/>
    <w:rsid w:val="0060085E"/>
    <w:rsid w:val="006009A1"/>
    <w:rsid w:val="0060102B"/>
    <w:rsid w:val="00601061"/>
    <w:rsid w:val="00602A74"/>
    <w:rsid w:val="00606BF5"/>
    <w:rsid w:val="00606E98"/>
    <w:rsid w:val="006104F1"/>
    <w:rsid w:val="0061061C"/>
    <w:rsid w:val="00610DE8"/>
    <w:rsid w:val="0061126A"/>
    <w:rsid w:val="00611F5C"/>
    <w:rsid w:val="00612C1B"/>
    <w:rsid w:val="00612DBF"/>
    <w:rsid w:val="006132C3"/>
    <w:rsid w:val="00613687"/>
    <w:rsid w:val="00613A3E"/>
    <w:rsid w:val="00614837"/>
    <w:rsid w:val="00614A63"/>
    <w:rsid w:val="00614B58"/>
    <w:rsid w:val="0061665D"/>
    <w:rsid w:val="00616835"/>
    <w:rsid w:val="00616888"/>
    <w:rsid w:val="00617454"/>
    <w:rsid w:val="00617528"/>
    <w:rsid w:val="00617ABC"/>
    <w:rsid w:val="00620B3B"/>
    <w:rsid w:val="00623424"/>
    <w:rsid w:val="006256D9"/>
    <w:rsid w:val="006260BE"/>
    <w:rsid w:val="006268BD"/>
    <w:rsid w:val="00626E51"/>
    <w:rsid w:val="00627256"/>
    <w:rsid w:val="00630188"/>
    <w:rsid w:val="00630532"/>
    <w:rsid w:val="006306B4"/>
    <w:rsid w:val="006307BD"/>
    <w:rsid w:val="006308DE"/>
    <w:rsid w:val="00630AA7"/>
    <w:rsid w:val="00631A4B"/>
    <w:rsid w:val="00631E84"/>
    <w:rsid w:val="00632C91"/>
    <w:rsid w:val="00632F77"/>
    <w:rsid w:val="006336E8"/>
    <w:rsid w:val="00633BE5"/>
    <w:rsid w:val="00633CEC"/>
    <w:rsid w:val="00635719"/>
    <w:rsid w:val="00636462"/>
    <w:rsid w:val="00636C7D"/>
    <w:rsid w:val="00637840"/>
    <w:rsid w:val="006378B0"/>
    <w:rsid w:val="006408D3"/>
    <w:rsid w:val="00640BC5"/>
    <w:rsid w:val="00640DE6"/>
    <w:rsid w:val="006422C9"/>
    <w:rsid w:val="00644016"/>
    <w:rsid w:val="006448B9"/>
    <w:rsid w:val="00644A79"/>
    <w:rsid w:val="00644EE4"/>
    <w:rsid w:val="00645747"/>
    <w:rsid w:val="006466E9"/>
    <w:rsid w:val="006470E2"/>
    <w:rsid w:val="00647595"/>
    <w:rsid w:val="006475FD"/>
    <w:rsid w:val="00647841"/>
    <w:rsid w:val="00647E4E"/>
    <w:rsid w:val="00650506"/>
    <w:rsid w:val="00650DCD"/>
    <w:rsid w:val="0065131A"/>
    <w:rsid w:val="00651BB6"/>
    <w:rsid w:val="0065224E"/>
    <w:rsid w:val="006527DC"/>
    <w:rsid w:val="0065311F"/>
    <w:rsid w:val="0065323F"/>
    <w:rsid w:val="00653836"/>
    <w:rsid w:val="006546EF"/>
    <w:rsid w:val="00655058"/>
    <w:rsid w:val="006553A4"/>
    <w:rsid w:val="006554D8"/>
    <w:rsid w:val="00655990"/>
    <w:rsid w:val="00656856"/>
    <w:rsid w:val="00656C8E"/>
    <w:rsid w:val="00656F6E"/>
    <w:rsid w:val="00657030"/>
    <w:rsid w:val="006571A3"/>
    <w:rsid w:val="00657E12"/>
    <w:rsid w:val="006601EB"/>
    <w:rsid w:val="00662265"/>
    <w:rsid w:val="00664811"/>
    <w:rsid w:val="00664D67"/>
    <w:rsid w:val="00665995"/>
    <w:rsid w:val="0066616C"/>
    <w:rsid w:val="006668D9"/>
    <w:rsid w:val="0066709C"/>
    <w:rsid w:val="00667553"/>
    <w:rsid w:val="00667960"/>
    <w:rsid w:val="00667E48"/>
    <w:rsid w:val="0067028D"/>
    <w:rsid w:val="00670C62"/>
    <w:rsid w:val="00671C5A"/>
    <w:rsid w:val="00672724"/>
    <w:rsid w:val="00673889"/>
    <w:rsid w:val="006744C9"/>
    <w:rsid w:val="006745A8"/>
    <w:rsid w:val="00675BDA"/>
    <w:rsid w:val="00675FD1"/>
    <w:rsid w:val="00675FD4"/>
    <w:rsid w:val="00676799"/>
    <w:rsid w:val="006776D6"/>
    <w:rsid w:val="00680791"/>
    <w:rsid w:val="0068143A"/>
    <w:rsid w:val="0068253F"/>
    <w:rsid w:val="00682560"/>
    <w:rsid w:val="006838A2"/>
    <w:rsid w:val="00683F20"/>
    <w:rsid w:val="0068462C"/>
    <w:rsid w:val="00684911"/>
    <w:rsid w:val="00684CFE"/>
    <w:rsid w:val="0068525A"/>
    <w:rsid w:val="0068620F"/>
    <w:rsid w:val="00686B07"/>
    <w:rsid w:val="006872E0"/>
    <w:rsid w:val="006905D0"/>
    <w:rsid w:val="00690D12"/>
    <w:rsid w:val="0069310D"/>
    <w:rsid w:val="00694C5B"/>
    <w:rsid w:val="00694D00"/>
    <w:rsid w:val="00694D16"/>
    <w:rsid w:val="006958F8"/>
    <w:rsid w:val="006967A1"/>
    <w:rsid w:val="0069694B"/>
    <w:rsid w:val="00696FCD"/>
    <w:rsid w:val="00697266"/>
    <w:rsid w:val="006A01D0"/>
    <w:rsid w:val="006A044D"/>
    <w:rsid w:val="006A0A7B"/>
    <w:rsid w:val="006A1CA4"/>
    <w:rsid w:val="006A242C"/>
    <w:rsid w:val="006A25AF"/>
    <w:rsid w:val="006A2848"/>
    <w:rsid w:val="006A2E23"/>
    <w:rsid w:val="006A3469"/>
    <w:rsid w:val="006A39FF"/>
    <w:rsid w:val="006A3AEB"/>
    <w:rsid w:val="006A3BB5"/>
    <w:rsid w:val="006A47B4"/>
    <w:rsid w:val="006A47D8"/>
    <w:rsid w:val="006A56AD"/>
    <w:rsid w:val="006A6A1F"/>
    <w:rsid w:val="006A6AD3"/>
    <w:rsid w:val="006A6F42"/>
    <w:rsid w:val="006A74F4"/>
    <w:rsid w:val="006A7B37"/>
    <w:rsid w:val="006B024F"/>
    <w:rsid w:val="006B0C11"/>
    <w:rsid w:val="006B1AF6"/>
    <w:rsid w:val="006B1B8A"/>
    <w:rsid w:val="006B1FD2"/>
    <w:rsid w:val="006B2AF7"/>
    <w:rsid w:val="006B2C98"/>
    <w:rsid w:val="006B31FB"/>
    <w:rsid w:val="006B3D3E"/>
    <w:rsid w:val="006B4339"/>
    <w:rsid w:val="006B55D5"/>
    <w:rsid w:val="006B5658"/>
    <w:rsid w:val="006B5912"/>
    <w:rsid w:val="006B6614"/>
    <w:rsid w:val="006B6E84"/>
    <w:rsid w:val="006B6F53"/>
    <w:rsid w:val="006B75C0"/>
    <w:rsid w:val="006B7CD3"/>
    <w:rsid w:val="006B7F9A"/>
    <w:rsid w:val="006C0C65"/>
    <w:rsid w:val="006C19AD"/>
    <w:rsid w:val="006C2730"/>
    <w:rsid w:val="006C27BF"/>
    <w:rsid w:val="006C2A4D"/>
    <w:rsid w:val="006C2A85"/>
    <w:rsid w:val="006C4342"/>
    <w:rsid w:val="006C4454"/>
    <w:rsid w:val="006C495F"/>
    <w:rsid w:val="006C5018"/>
    <w:rsid w:val="006C54C8"/>
    <w:rsid w:val="006C5B87"/>
    <w:rsid w:val="006C6323"/>
    <w:rsid w:val="006C636F"/>
    <w:rsid w:val="006C7DA9"/>
    <w:rsid w:val="006C7F4D"/>
    <w:rsid w:val="006D00C2"/>
    <w:rsid w:val="006D098A"/>
    <w:rsid w:val="006D0C57"/>
    <w:rsid w:val="006D0DE3"/>
    <w:rsid w:val="006D1319"/>
    <w:rsid w:val="006D1DC1"/>
    <w:rsid w:val="006D1E9D"/>
    <w:rsid w:val="006D2774"/>
    <w:rsid w:val="006D3129"/>
    <w:rsid w:val="006D4D54"/>
    <w:rsid w:val="006D68F2"/>
    <w:rsid w:val="006D77EE"/>
    <w:rsid w:val="006D7C07"/>
    <w:rsid w:val="006E0818"/>
    <w:rsid w:val="006E15E2"/>
    <w:rsid w:val="006E1DD1"/>
    <w:rsid w:val="006E1E58"/>
    <w:rsid w:val="006E1E6D"/>
    <w:rsid w:val="006E249F"/>
    <w:rsid w:val="006E2CEF"/>
    <w:rsid w:val="006E3A73"/>
    <w:rsid w:val="006E43C5"/>
    <w:rsid w:val="006E494C"/>
    <w:rsid w:val="006E5722"/>
    <w:rsid w:val="006E5FF2"/>
    <w:rsid w:val="006E60BB"/>
    <w:rsid w:val="006E6559"/>
    <w:rsid w:val="006E684A"/>
    <w:rsid w:val="006E7159"/>
    <w:rsid w:val="006E7A97"/>
    <w:rsid w:val="006F005D"/>
    <w:rsid w:val="006F08DB"/>
    <w:rsid w:val="006F1009"/>
    <w:rsid w:val="006F106B"/>
    <w:rsid w:val="006F12EA"/>
    <w:rsid w:val="006F148E"/>
    <w:rsid w:val="006F1CB7"/>
    <w:rsid w:val="006F2BA3"/>
    <w:rsid w:val="006F308D"/>
    <w:rsid w:val="006F3867"/>
    <w:rsid w:val="006F3FF8"/>
    <w:rsid w:val="006F4179"/>
    <w:rsid w:val="006F449B"/>
    <w:rsid w:val="006F5767"/>
    <w:rsid w:val="006F576B"/>
    <w:rsid w:val="006F5797"/>
    <w:rsid w:val="006F57E5"/>
    <w:rsid w:val="006F65CC"/>
    <w:rsid w:val="006F6D70"/>
    <w:rsid w:val="006F77DD"/>
    <w:rsid w:val="006F7BBA"/>
    <w:rsid w:val="00700079"/>
    <w:rsid w:val="007006E3"/>
    <w:rsid w:val="007019F4"/>
    <w:rsid w:val="0070253F"/>
    <w:rsid w:val="00702679"/>
    <w:rsid w:val="00703B9D"/>
    <w:rsid w:val="00704EE4"/>
    <w:rsid w:val="00706881"/>
    <w:rsid w:val="00707205"/>
    <w:rsid w:val="00707A78"/>
    <w:rsid w:val="00707F74"/>
    <w:rsid w:val="0071078F"/>
    <w:rsid w:val="00711312"/>
    <w:rsid w:val="007125A3"/>
    <w:rsid w:val="00712F02"/>
    <w:rsid w:val="00712F83"/>
    <w:rsid w:val="0071375B"/>
    <w:rsid w:val="00713CCE"/>
    <w:rsid w:val="00713E4F"/>
    <w:rsid w:val="0071452A"/>
    <w:rsid w:val="00714889"/>
    <w:rsid w:val="0071518A"/>
    <w:rsid w:val="007151CF"/>
    <w:rsid w:val="00715CB3"/>
    <w:rsid w:val="0071620D"/>
    <w:rsid w:val="007163CB"/>
    <w:rsid w:val="00716F84"/>
    <w:rsid w:val="00720601"/>
    <w:rsid w:val="0072092C"/>
    <w:rsid w:val="00720B9F"/>
    <w:rsid w:val="00721001"/>
    <w:rsid w:val="00721E01"/>
    <w:rsid w:val="00722A8E"/>
    <w:rsid w:val="0072354B"/>
    <w:rsid w:val="007235DC"/>
    <w:rsid w:val="00723E0C"/>
    <w:rsid w:val="00723FA5"/>
    <w:rsid w:val="007241FC"/>
    <w:rsid w:val="007242E4"/>
    <w:rsid w:val="007249DD"/>
    <w:rsid w:val="00724CC8"/>
    <w:rsid w:val="00724D70"/>
    <w:rsid w:val="00725272"/>
    <w:rsid w:val="007257F4"/>
    <w:rsid w:val="0072619B"/>
    <w:rsid w:val="007274A6"/>
    <w:rsid w:val="00730309"/>
    <w:rsid w:val="00730D8C"/>
    <w:rsid w:val="00731802"/>
    <w:rsid w:val="00731CC0"/>
    <w:rsid w:val="00731D96"/>
    <w:rsid w:val="00732A8C"/>
    <w:rsid w:val="00732ADF"/>
    <w:rsid w:val="00733783"/>
    <w:rsid w:val="00734710"/>
    <w:rsid w:val="00734FA7"/>
    <w:rsid w:val="00735471"/>
    <w:rsid w:val="00735DF5"/>
    <w:rsid w:val="007360FE"/>
    <w:rsid w:val="00736BE9"/>
    <w:rsid w:val="007373C3"/>
    <w:rsid w:val="007374AF"/>
    <w:rsid w:val="007377E7"/>
    <w:rsid w:val="00737D34"/>
    <w:rsid w:val="00740E35"/>
    <w:rsid w:val="00740ECB"/>
    <w:rsid w:val="0074189D"/>
    <w:rsid w:val="007426AB"/>
    <w:rsid w:val="007438E1"/>
    <w:rsid w:val="00744464"/>
    <w:rsid w:val="00744B08"/>
    <w:rsid w:val="00745797"/>
    <w:rsid w:val="00745946"/>
    <w:rsid w:val="007459C6"/>
    <w:rsid w:val="0074713C"/>
    <w:rsid w:val="007471D3"/>
    <w:rsid w:val="00747901"/>
    <w:rsid w:val="00750225"/>
    <w:rsid w:val="00750895"/>
    <w:rsid w:val="00752329"/>
    <w:rsid w:val="00752B8A"/>
    <w:rsid w:val="00753188"/>
    <w:rsid w:val="00755A14"/>
    <w:rsid w:val="0075738F"/>
    <w:rsid w:val="0075776F"/>
    <w:rsid w:val="00757C41"/>
    <w:rsid w:val="00757D76"/>
    <w:rsid w:val="00757F11"/>
    <w:rsid w:val="00760365"/>
    <w:rsid w:val="007607F5"/>
    <w:rsid w:val="007608D1"/>
    <w:rsid w:val="00760912"/>
    <w:rsid w:val="00760F1E"/>
    <w:rsid w:val="00761CF7"/>
    <w:rsid w:val="00762672"/>
    <w:rsid w:val="00763300"/>
    <w:rsid w:val="0076365F"/>
    <w:rsid w:val="0076390B"/>
    <w:rsid w:val="0076392C"/>
    <w:rsid w:val="00764439"/>
    <w:rsid w:val="007657D3"/>
    <w:rsid w:val="00765CB2"/>
    <w:rsid w:val="00766374"/>
    <w:rsid w:val="00766CA9"/>
    <w:rsid w:val="00767A4F"/>
    <w:rsid w:val="00770D0D"/>
    <w:rsid w:val="007711BA"/>
    <w:rsid w:val="00771286"/>
    <w:rsid w:val="00771ABF"/>
    <w:rsid w:val="00773894"/>
    <w:rsid w:val="00773D5E"/>
    <w:rsid w:val="00774348"/>
    <w:rsid w:val="007746B4"/>
    <w:rsid w:val="00774A26"/>
    <w:rsid w:val="007758E0"/>
    <w:rsid w:val="007759F7"/>
    <w:rsid w:val="00776149"/>
    <w:rsid w:val="007768A8"/>
    <w:rsid w:val="007769BF"/>
    <w:rsid w:val="00777739"/>
    <w:rsid w:val="00777BA5"/>
    <w:rsid w:val="00777EB0"/>
    <w:rsid w:val="007800E3"/>
    <w:rsid w:val="0078160C"/>
    <w:rsid w:val="0078178A"/>
    <w:rsid w:val="00782247"/>
    <w:rsid w:val="00782500"/>
    <w:rsid w:val="007825AB"/>
    <w:rsid w:val="007832AD"/>
    <w:rsid w:val="00783BE3"/>
    <w:rsid w:val="00785880"/>
    <w:rsid w:val="0078662F"/>
    <w:rsid w:val="007878B4"/>
    <w:rsid w:val="00787A2F"/>
    <w:rsid w:val="00787DEC"/>
    <w:rsid w:val="007908C5"/>
    <w:rsid w:val="007911F0"/>
    <w:rsid w:val="00791DA3"/>
    <w:rsid w:val="00791DD7"/>
    <w:rsid w:val="00791F52"/>
    <w:rsid w:val="0079210D"/>
    <w:rsid w:val="00792683"/>
    <w:rsid w:val="00793043"/>
    <w:rsid w:val="0079342B"/>
    <w:rsid w:val="00793F2D"/>
    <w:rsid w:val="00794271"/>
    <w:rsid w:val="007942ED"/>
    <w:rsid w:val="00795303"/>
    <w:rsid w:val="00795429"/>
    <w:rsid w:val="00795FD5"/>
    <w:rsid w:val="00796402"/>
    <w:rsid w:val="00796996"/>
    <w:rsid w:val="007A04BF"/>
    <w:rsid w:val="007A0895"/>
    <w:rsid w:val="007A0F8B"/>
    <w:rsid w:val="007A1540"/>
    <w:rsid w:val="007A1E42"/>
    <w:rsid w:val="007A3A37"/>
    <w:rsid w:val="007A44F6"/>
    <w:rsid w:val="007A586F"/>
    <w:rsid w:val="007A5F2B"/>
    <w:rsid w:val="007A601F"/>
    <w:rsid w:val="007A6104"/>
    <w:rsid w:val="007A62B7"/>
    <w:rsid w:val="007A7597"/>
    <w:rsid w:val="007A7F3F"/>
    <w:rsid w:val="007B0026"/>
    <w:rsid w:val="007B0064"/>
    <w:rsid w:val="007B1CB7"/>
    <w:rsid w:val="007B2035"/>
    <w:rsid w:val="007B2D49"/>
    <w:rsid w:val="007B2F86"/>
    <w:rsid w:val="007B36C1"/>
    <w:rsid w:val="007B36C5"/>
    <w:rsid w:val="007B3929"/>
    <w:rsid w:val="007B4A99"/>
    <w:rsid w:val="007B5079"/>
    <w:rsid w:val="007B635B"/>
    <w:rsid w:val="007B667E"/>
    <w:rsid w:val="007B7BF7"/>
    <w:rsid w:val="007B7C91"/>
    <w:rsid w:val="007B7D02"/>
    <w:rsid w:val="007C00BA"/>
    <w:rsid w:val="007C046B"/>
    <w:rsid w:val="007C04ED"/>
    <w:rsid w:val="007C0DE0"/>
    <w:rsid w:val="007C1851"/>
    <w:rsid w:val="007C31FD"/>
    <w:rsid w:val="007C3331"/>
    <w:rsid w:val="007C34C2"/>
    <w:rsid w:val="007C37A2"/>
    <w:rsid w:val="007C4595"/>
    <w:rsid w:val="007C52F9"/>
    <w:rsid w:val="007C58BD"/>
    <w:rsid w:val="007C6838"/>
    <w:rsid w:val="007C7380"/>
    <w:rsid w:val="007C7F8E"/>
    <w:rsid w:val="007D0296"/>
    <w:rsid w:val="007D0AC6"/>
    <w:rsid w:val="007D1CF2"/>
    <w:rsid w:val="007D1E28"/>
    <w:rsid w:val="007D2B7A"/>
    <w:rsid w:val="007D318F"/>
    <w:rsid w:val="007D47A7"/>
    <w:rsid w:val="007D49D7"/>
    <w:rsid w:val="007D5260"/>
    <w:rsid w:val="007D5370"/>
    <w:rsid w:val="007D5914"/>
    <w:rsid w:val="007D5949"/>
    <w:rsid w:val="007D6772"/>
    <w:rsid w:val="007D68AF"/>
    <w:rsid w:val="007D745A"/>
    <w:rsid w:val="007E05F1"/>
    <w:rsid w:val="007E0B69"/>
    <w:rsid w:val="007E0E9A"/>
    <w:rsid w:val="007E0F4F"/>
    <w:rsid w:val="007E1184"/>
    <w:rsid w:val="007E1194"/>
    <w:rsid w:val="007E12D2"/>
    <w:rsid w:val="007E3095"/>
    <w:rsid w:val="007E3617"/>
    <w:rsid w:val="007E36FD"/>
    <w:rsid w:val="007E41B9"/>
    <w:rsid w:val="007E487E"/>
    <w:rsid w:val="007E4D53"/>
    <w:rsid w:val="007E50D7"/>
    <w:rsid w:val="007E69F4"/>
    <w:rsid w:val="007E6E8D"/>
    <w:rsid w:val="007E732B"/>
    <w:rsid w:val="007E768B"/>
    <w:rsid w:val="007F01E1"/>
    <w:rsid w:val="007F04D7"/>
    <w:rsid w:val="007F141E"/>
    <w:rsid w:val="007F1684"/>
    <w:rsid w:val="007F1A21"/>
    <w:rsid w:val="007F1F0E"/>
    <w:rsid w:val="007F3AE3"/>
    <w:rsid w:val="007F3E9C"/>
    <w:rsid w:val="007F4B19"/>
    <w:rsid w:val="007F4B5D"/>
    <w:rsid w:val="007F4C64"/>
    <w:rsid w:val="007F584D"/>
    <w:rsid w:val="007F5FFF"/>
    <w:rsid w:val="007F606F"/>
    <w:rsid w:val="007F6A5F"/>
    <w:rsid w:val="008016FA"/>
    <w:rsid w:val="008019DC"/>
    <w:rsid w:val="00802B02"/>
    <w:rsid w:val="00803C16"/>
    <w:rsid w:val="00804B71"/>
    <w:rsid w:val="00804BAF"/>
    <w:rsid w:val="008056C9"/>
    <w:rsid w:val="00806776"/>
    <w:rsid w:val="00806967"/>
    <w:rsid w:val="00806E7F"/>
    <w:rsid w:val="00806EDD"/>
    <w:rsid w:val="008077EC"/>
    <w:rsid w:val="0080787C"/>
    <w:rsid w:val="008100CB"/>
    <w:rsid w:val="00810B19"/>
    <w:rsid w:val="00812F42"/>
    <w:rsid w:val="00814F0C"/>
    <w:rsid w:val="00814F4D"/>
    <w:rsid w:val="00815DDB"/>
    <w:rsid w:val="0081671E"/>
    <w:rsid w:val="008168D7"/>
    <w:rsid w:val="00817334"/>
    <w:rsid w:val="0081745E"/>
    <w:rsid w:val="00817A61"/>
    <w:rsid w:val="00817B85"/>
    <w:rsid w:val="00820633"/>
    <w:rsid w:val="00820D61"/>
    <w:rsid w:val="0082134E"/>
    <w:rsid w:val="0082162E"/>
    <w:rsid w:val="008224DB"/>
    <w:rsid w:val="008225B0"/>
    <w:rsid w:val="00822A33"/>
    <w:rsid w:val="00822A44"/>
    <w:rsid w:val="008232CC"/>
    <w:rsid w:val="00824CF0"/>
    <w:rsid w:val="00824FF8"/>
    <w:rsid w:val="008257DB"/>
    <w:rsid w:val="0082637A"/>
    <w:rsid w:val="0083041A"/>
    <w:rsid w:val="0083096C"/>
    <w:rsid w:val="008316F7"/>
    <w:rsid w:val="00831745"/>
    <w:rsid w:val="00831DB8"/>
    <w:rsid w:val="008331B9"/>
    <w:rsid w:val="0083375C"/>
    <w:rsid w:val="00833F3D"/>
    <w:rsid w:val="00834D51"/>
    <w:rsid w:val="00835D61"/>
    <w:rsid w:val="0083638E"/>
    <w:rsid w:val="008364D7"/>
    <w:rsid w:val="00836A51"/>
    <w:rsid w:val="00837819"/>
    <w:rsid w:val="00840624"/>
    <w:rsid w:val="008419E6"/>
    <w:rsid w:val="00842C69"/>
    <w:rsid w:val="00843B04"/>
    <w:rsid w:val="00843FAE"/>
    <w:rsid w:val="008447FA"/>
    <w:rsid w:val="00844E1B"/>
    <w:rsid w:val="00844F15"/>
    <w:rsid w:val="00845278"/>
    <w:rsid w:val="00846334"/>
    <w:rsid w:val="00846FBB"/>
    <w:rsid w:val="00847E60"/>
    <w:rsid w:val="00850009"/>
    <w:rsid w:val="00850F27"/>
    <w:rsid w:val="008511C3"/>
    <w:rsid w:val="00851445"/>
    <w:rsid w:val="008517B4"/>
    <w:rsid w:val="008520D4"/>
    <w:rsid w:val="00852B47"/>
    <w:rsid w:val="00852DB9"/>
    <w:rsid w:val="00852FDE"/>
    <w:rsid w:val="00853550"/>
    <w:rsid w:val="00853596"/>
    <w:rsid w:val="00853B1C"/>
    <w:rsid w:val="008544F8"/>
    <w:rsid w:val="00854FAD"/>
    <w:rsid w:val="008555F4"/>
    <w:rsid w:val="0085645D"/>
    <w:rsid w:val="00856E4D"/>
    <w:rsid w:val="00857975"/>
    <w:rsid w:val="00857CB8"/>
    <w:rsid w:val="00860613"/>
    <w:rsid w:val="0086076D"/>
    <w:rsid w:val="008607B9"/>
    <w:rsid w:val="00860857"/>
    <w:rsid w:val="008608F3"/>
    <w:rsid w:val="00860FF3"/>
    <w:rsid w:val="00861044"/>
    <w:rsid w:val="00863440"/>
    <w:rsid w:val="00863F61"/>
    <w:rsid w:val="00865255"/>
    <w:rsid w:val="008662D5"/>
    <w:rsid w:val="008674AA"/>
    <w:rsid w:val="0087027B"/>
    <w:rsid w:val="00870287"/>
    <w:rsid w:val="00873CA9"/>
    <w:rsid w:val="008748A7"/>
    <w:rsid w:val="008761B2"/>
    <w:rsid w:val="0087666D"/>
    <w:rsid w:val="008770C6"/>
    <w:rsid w:val="008777C5"/>
    <w:rsid w:val="00877C0B"/>
    <w:rsid w:val="0088068B"/>
    <w:rsid w:val="00881BB6"/>
    <w:rsid w:val="00881D28"/>
    <w:rsid w:val="00881FAE"/>
    <w:rsid w:val="00882E3C"/>
    <w:rsid w:val="00882E55"/>
    <w:rsid w:val="00884135"/>
    <w:rsid w:val="008842AF"/>
    <w:rsid w:val="00884B1F"/>
    <w:rsid w:val="008854CE"/>
    <w:rsid w:val="00886777"/>
    <w:rsid w:val="00886E20"/>
    <w:rsid w:val="00887089"/>
    <w:rsid w:val="00887ADE"/>
    <w:rsid w:val="008917D9"/>
    <w:rsid w:val="00891A51"/>
    <w:rsid w:val="00891B10"/>
    <w:rsid w:val="00892392"/>
    <w:rsid w:val="0089298F"/>
    <w:rsid w:val="00893690"/>
    <w:rsid w:val="008938F6"/>
    <w:rsid w:val="008944F3"/>
    <w:rsid w:val="00894D0C"/>
    <w:rsid w:val="00894E65"/>
    <w:rsid w:val="00894F68"/>
    <w:rsid w:val="008950CB"/>
    <w:rsid w:val="0089524A"/>
    <w:rsid w:val="00895269"/>
    <w:rsid w:val="0089657C"/>
    <w:rsid w:val="00896604"/>
    <w:rsid w:val="00896931"/>
    <w:rsid w:val="008973C2"/>
    <w:rsid w:val="00897DCA"/>
    <w:rsid w:val="008A07F1"/>
    <w:rsid w:val="008A162F"/>
    <w:rsid w:val="008A2216"/>
    <w:rsid w:val="008A2965"/>
    <w:rsid w:val="008A2CBF"/>
    <w:rsid w:val="008A3973"/>
    <w:rsid w:val="008A404A"/>
    <w:rsid w:val="008A423E"/>
    <w:rsid w:val="008A4537"/>
    <w:rsid w:val="008A4655"/>
    <w:rsid w:val="008A48B8"/>
    <w:rsid w:val="008A4E55"/>
    <w:rsid w:val="008A6523"/>
    <w:rsid w:val="008A6F28"/>
    <w:rsid w:val="008B0402"/>
    <w:rsid w:val="008B088A"/>
    <w:rsid w:val="008B25DD"/>
    <w:rsid w:val="008B2C41"/>
    <w:rsid w:val="008B2D18"/>
    <w:rsid w:val="008B3EEC"/>
    <w:rsid w:val="008B4145"/>
    <w:rsid w:val="008B44AE"/>
    <w:rsid w:val="008B491B"/>
    <w:rsid w:val="008B4AA9"/>
    <w:rsid w:val="008B4C4E"/>
    <w:rsid w:val="008B4F19"/>
    <w:rsid w:val="008B529E"/>
    <w:rsid w:val="008B534F"/>
    <w:rsid w:val="008B593A"/>
    <w:rsid w:val="008B6EA8"/>
    <w:rsid w:val="008B7CD9"/>
    <w:rsid w:val="008C04CA"/>
    <w:rsid w:val="008C066D"/>
    <w:rsid w:val="008C1A91"/>
    <w:rsid w:val="008C3541"/>
    <w:rsid w:val="008C46A8"/>
    <w:rsid w:val="008C4894"/>
    <w:rsid w:val="008C5016"/>
    <w:rsid w:val="008C530D"/>
    <w:rsid w:val="008C5969"/>
    <w:rsid w:val="008C5EE6"/>
    <w:rsid w:val="008C626B"/>
    <w:rsid w:val="008C791D"/>
    <w:rsid w:val="008D0725"/>
    <w:rsid w:val="008D0A45"/>
    <w:rsid w:val="008D0BB2"/>
    <w:rsid w:val="008D1A32"/>
    <w:rsid w:val="008D1C58"/>
    <w:rsid w:val="008D3664"/>
    <w:rsid w:val="008D4060"/>
    <w:rsid w:val="008D4CB4"/>
    <w:rsid w:val="008D541F"/>
    <w:rsid w:val="008D596F"/>
    <w:rsid w:val="008D5B63"/>
    <w:rsid w:val="008D6158"/>
    <w:rsid w:val="008D6217"/>
    <w:rsid w:val="008D6F06"/>
    <w:rsid w:val="008D71E8"/>
    <w:rsid w:val="008D73C2"/>
    <w:rsid w:val="008D766B"/>
    <w:rsid w:val="008E03B3"/>
    <w:rsid w:val="008E3BCB"/>
    <w:rsid w:val="008E3E21"/>
    <w:rsid w:val="008E4C4D"/>
    <w:rsid w:val="008E5940"/>
    <w:rsid w:val="008E5FFA"/>
    <w:rsid w:val="008E686A"/>
    <w:rsid w:val="008E69A9"/>
    <w:rsid w:val="008E6CF6"/>
    <w:rsid w:val="008E6E37"/>
    <w:rsid w:val="008E6F2E"/>
    <w:rsid w:val="008F131B"/>
    <w:rsid w:val="008F1870"/>
    <w:rsid w:val="008F1AC3"/>
    <w:rsid w:val="008F1E17"/>
    <w:rsid w:val="008F2436"/>
    <w:rsid w:val="008F28CF"/>
    <w:rsid w:val="008F2D2A"/>
    <w:rsid w:val="008F3772"/>
    <w:rsid w:val="008F562D"/>
    <w:rsid w:val="008F6116"/>
    <w:rsid w:val="008F63EB"/>
    <w:rsid w:val="008F7EB7"/>
    <w:rsid w:val="00900803"/>
    <w:rsid w:val="00901078"/>
    <w:rsid w:val="00901261"/>
    <w:rsid w:val="0090181F"/>
    <w:rsid w:val="00904890"/>
    <w:rsid w:val="00905393"/>
    <w:rsid w:val="0090582C"/>
    <w:rsid w:val="00905DEC"/>
    <w:rsid w:val="00906D3B"/>
    <w:rsid w:val="009073AB"/>
    <w:rsid w:val="00910A55"/>
    <w:rsid w:val="00911666"/>
    <w:rsid w:val="009119CA"/>
    <w:rsid w:val="0091334C"/>
    <w:rsid w:val="00913806"/>
    <w:rsid w:val="0091382E"/>
    <w:rsid w:val="00913910"/>
    <w:rsid w:val="0091406B"/>
    <w:rsid w:val="00915887"/>
    <w:rsid w:val="009161AB"/>
    <w:rsid w:val="009171F2"/>
    <w:rsid w:val="009175F7"/>
    <w:rsid w:val="00917828"/>
    <w:rsid w:val="009179EA"/>
    <w:rsid w:val="00917B28"/>
    <w:rsid w:val="00917B3C"/>
    <w:rsid w:val="00920428"/>
    <w:rsid w:val="009210E9"/>
    <w:rsid w:val="009230AE"/>
    <w:rsid w:val="00923F3E"/>
    <w:rsid w:val="00925311"/>
    <w:rsid w:val="0092601C"/>
    <w:rsid w:val="00926B26"/>
    <w:rsid w:val="0092792A"/>
    <w:rsid w:val="009303F2"/>
    <w:rsid w:val="00931779"/>
    <w:rsid w:val="00931B27"/>
    <w:rsid w:val="009330C8"/>
    <w:rsid w:val="0093311A"/>
    <w:rsid w:val="00933EE1"/>
    <w:rsid w:val="00934107"/>
    <w:rsid w:val="0093428F"/>
    <w:rsid w:val="009357B1"/>
    <w:rsid w:val="00935FF4"/>
    <w:rsid w:val="00936080"/>
    <w:rsid w:val="00936467"/>
    <w:rsid w:val="009366A7"/>
    <w:rsid w:val="00936981"/>
    <w:rsid w:val="00937250"/>
    <w:rsid w:val="00937B1B"/>
    <w:rsid w:val="00937C6D"/>
    <w:rsid w:val="00940131"/>
    <w:rsid w:val="009405B3"/>
    <w:rsid w:val="00941534"/>
    <w:rsid w:val="00941E57"/>
    <w:rsid w:val="00942A44"/>
    <w:rsid w:val="0094328F"/>
    <w:rsid w:val="00943340"/>
    <w:rsid w:val="0094355D"/>
    <w:rsid w:val="00943EAF"/>
    <w:rsid w:val="009453EE"/>
    <w:rsid w:val="0094544B"/>
    <w:rsid w:val="0094552B"/>
    <w:rsid w:val="00945AE4"/>
    <w:rsid w:val="00947207"/>
    <w:rsid w:val="00947318"/>
    <w:rsid w:val="009473C9"/>
    <w:rsid w:val="00950F42"/>
    <w:rsid w:val="009528E1"/>
    <w:rsid w:val="00952DF1"/>
    <w:rsid w:val="0095324F"/>
    <w:rsid w:val="00954909"/>
    <w:rsid w:val="00954B53"/>
    <w:rsid w:val="00954E89"/>
    <w:rsid w:val="009550AD"/>
    <w:rsid w:val="0095533E"/>
    <w:rsid w:val="009554E7"/>
    <w:rsid w:val="00955B99"/>
    <w:rsid w:val="009561A8"/>
    <w:rsid w:val="009561C9"/>
    <w:rsid w:val="009566C1"/>
    <w:rsid w:val="00957119"/>
    <w:rsid w:val="00957951"/>
    <w:rsid w:val="0096052D"/>
    <w:rsid w:val="009606ED"/>
    <w:rsid w:val="00960D07"/>
    <w:rsid w:val="0096177D"/>
    <w:rsid w:val="00961935"/>
    <w:rsid w:val="00961C9C"/>
    <w:rsid w:val="00962220"/>
    <w:rsid w:val="009626D1"/>
    <w:rsid w:val="00962E87"/>
    <w:rsid w:val="00962FDD"/>
    <w:rsid w:val="0096339C"/>
    <w:rsid w:val="00964396"/>
    <w:rsid w:val="00965324"/>
    <w:rsid w:val="00965C25"/>
    <w:rsid w:val="009662EA"/>
    <w:rsid w:val="00970647"/>
    <w:rsid w:val="009707A1"/>
    <w:rsid w:val="00970937"/>
    <w:rsid w:val="00972734"/>
    <w:rsid w:val="00972A04"/>
    <w:rsid w:val="009733A0"/>
    <w:rsid w:val="00974AC7"/>
    <w:rsid w:val="009758B8"/>
    <w:rsid w:val="0097625D"/>
    <w:rsid w:val="00976AAB"/>
    <w:rsid w:val="00976E3E"/>
    <w:rsid w:val="00977A03"/>
    <w:rsid w:val="0098066E"/>
    <w:rsid w:val="00981175"/>
    <w:rsid w:val="009819BC"/>
    <w:rsid w:val="00981BDB"/>
    <w:rsid w:val="0098285E"/>
    <w:rsid w:val="009831D6"/>
    <w:rsid w:val="00983A8F"/>
    <w:rsid w:val="00984D57"/>
    <w:rsid w:val="0098510C"/>
    <w:rsid w:val="00986FB8"/>
    <w:rsid w:val="0098701F"/>
    <w:rsid w:val="009872BC"/>
    <w:rsid w:val="00987965"/>
    <w:rsid w:val="0099178D"/>
    <w:rsid w:val="009921A0"/>
    <w:rsid w:val="00992CDE"/>
    <w:rsid w:val="00992EA5"/>
    <w:rsid w:val="009930CB"/>
    <w:rsid w:val="0099356F"/>
    <w:rsid w:val="00994022"/>
    <w:rsid w:val="00994787"/>
    <w:rsid w:val="009947B4"/>
    <w:rsid w:val="00995E53"/>
    <w:rsid w:val="00996A1A"/>
    <w:rsid w:val="0099728D"/>
    <w:rsid w:val="00997962"/>
    <w:rsid w:val="009A0CD7"/>
    <w:rsid w:val="009A1DA0"/>
    <w:rsid w:val="009A1EEA"/>
    <w:rsid w:val="009A226B"/>
    <w:rsid w:val="009A2C36"/>
    <w:rsid w:val="009A2C8F"/>
    <w:rsid w:val="009A391B"/>
    <w:rsid w:val="009A4D08"/>
    <w:rsid w:val="009A4D95"/>
    <w:rsid w:val="009A4DBB"/>
    <w:rsid w:val="009A6AA1"/>
    <w:rsid w:val="009B0032"/>
    <w:rsid w:val="009B012B"/>
    <w:rsid w:val="009B07F5"/>
    <w:rsid w:val="009B0DAD"/>
    <w:rsid w:val="009B10B3"/>
    <w:rsid w:val="009B261A"/>
    <w:rsid w:val="009B27E0"/>
    <w:rsid w:val="009B2AC0"/>
    <w:rsid w:val="009B3651"/>
    <w:rsid w:val="009B39B0"/>
    <w:rsid w:val="009B4A06"/>
    <w:rsid w:val="009B4DAC"/>
    <w:rsid w:val="009B5DE9"/>
    <w:rsid w:val="009B61F6"/>
    <w:rsid w:val="009B6AD2"/>
    <w:rsid w:val="009B6B5F"/>
    <w:rsid w:val="009C0196"/>
    <w:rsid w:val="009C083A"/>
    <w:rsid w:val="009C0E10"/>
    <w:rsid w:val="009C1C60"/>
    <w:rsid w:val="009C1CF5"/>
    <w:rsid w:val="009C1E19"/>
    <w:rsid w:val="009C23E6"/>
    <w:rsid w:val="009C2800"/>
    <w:rsid w:val="009C316C"/>
    <w:rsid w:val="009C349C"/>
    <w:rsid w:val="009C387C"/>
    <w:rsid w:val="009C397B"/>
    <w:rsid w:val="009C45AF"/>
    <w:rsid w:val="009C533A"/>
    <w:rsid w:val="009C559A"/>
    <w:rsid w:val="009C5CDA"/>
    <w:rsid w:val="009C5EEE"/>
    <w:rsid w:val="009C5F2E"/>
    <w:rsid w:val="009C7284"/>
    <w:rsid w:val="009C7CFC"/>
    <w:rsid w:val="009C7E4B"/>
    <w:rsid w:val="009D0057"/>
    <w:rsid w:val="009D0A72"/>
    <w:rsid w:val="009D1758"/>
    <w:rsid w:val="009D1C49"/>
    <w:rsid w:val="009D1EBD"/>
    <w:rsid w:val="009D3133"/>
    <w:rsid w:val="009D33D8"/>
    <w:rsid w:val="009D39E3"/>
    <w:rsid w:val="009D39EA"/>
    <w:rsid w:val="009D3DBC"/>
    <w:rsid w:val="009D3DCB"/>
    <w:rsid w:val="009D4158"/>
    <w:rsid w:val="009D44BE"/>
    <w:rsid w:val="009D45C3"/>
    <w:rsid w:val="009D45E3"/>
    <w:rsid w:val="009D4634"/>
    <w:rsid w:val="009D51ED"/>
    <w:rsid w:val="009D6291"/>
    <w:rsid w:val="009D68A4"/>
    <w:rsid w:val="009D713C"/>
    <w:rsid w:val="009D7684"/>
    <w:rsid w:val="009D7CCB"/>
    <w:rsid w:val="009D7D0C"/>
    <w:rsid w:val="009D7DA8"/>
    <w:rsid w:val="009E04AE"/>
    <w:rsid w:val="009E0837"/>
    <w:rsid w:val="009E20D6"/>
    <w:rsid w:val="009E3AB0"/>
    <w:rsid w:val="009E54BB"/>
    <w:rsid w:val="009E578D"/>
    <w:rsid w:val="009E5A27"/>
    <w:rsid w:val="009E63A1"/>
    <w:rsid w:val="009E6C34"/>
    <w:rsid w:val="009E7271"/>
    <w:rsid w:val="009F01A1"/>
    <w:rsid w:val="009F021E"/>
    <w:rsid w:val="009F08D7"/>
    <w:rsid w:val="009F092C"/>
    <w:rsid w:val="009F105C"/>
    <w:rsid w:val="009F2E47"/>
    <w:rsid w:val="009F300B"/>
    <w:rsid w:val="009F354C"/>
    <w:rsid w:val="009F357C"/>
    <w:rsid w:val="009F3676"/>
    <w:rsid w:val="009F368E"/>
    <w:rsid w:val="009F39D8"/>
    <w:rsid w:val="009F3F14"/>
    <w:rsid w:val="009F4657"/>
    <w:rsid w:val="009F4B11"/>
    <w:rsid w:val="009F577D"/>
    <w:rsid w:val="009F5E1F"/>
    <w:rsid w:val="009F6DFC"/>
    <w:rsid w:val="009F715C"/>
    <w:rsid w:val="009F72C8"/>
    <w:rsid w:val="009F799B"/>
    <w:rsid w:val="009F7A2A"/>
    <w:rsid w:val="009F7A98"/>
    <w:rsid w:val="009F7D8A"/>
    <w:rsid w:val="009F7D9E"/>
    <w:rsid w:val="00A00142"/>
    <w:rsid w:val="00A01676"/>
    <w:rsid w:val="00A02073"/>
    <w:rsid w:val="00A036B7"/>
    <w:rsid w:val="00A03CFA"/>
    <w:rsid w:val="00A040D7"/>
    <w:rsid w:val="00A044D7"/>
    <w:rsid w:val="00A044D9"/>
    <w:rsid w:val="00A04DB3"/>
    <w:rsid w:val="00A0547B"/>
    <w:rsid w:val="00A055B2"/>
    <w:rsid w:val="00A072BB"/>
    <w:rsid w:val="00A078B2"/>
    <w:rsid w:val="00A108CD"/>
    <w:rsid w:val="00A10BDA"/>
    <w:rsid w:val="00A11823"/>
    <w:rsid w:val="00A12953"/>
    <w:rsid w:val="00A13CDE"/>
    <w:rsid w:val="00A14248"/>
    <w:rsid w:val="00A14502"/>
    <w:rsid w:val="00A152E7"/>
    <w:rsid w:val="00A1575A"/>
    <w:rsid w:val="00A170F2"/>
    <w:rsid w:val="00A17218"/>
    <w:rsid w:val="00A1795F"/>
    <w:rsid w:val="00A17CE3"/>
    <w:rsid w:val="00A20078"/>
    <w:rsid w:val="00A20364"/>
    <w:rsid w:val="00A20F48"/>
    <w:rsid w:val="00A20F7C"/>
    <w:rsid w:val="00A225F6"/>
    <w:rsid w:val="00A22A44"/>
    <w:rsid w:val="00A22B1F"/>
    <w:rsid w:val="00A23798"/>
    <w:rsid w:val="00A23F00"/>
    <w:rsid w:val="00A23F7C"/>
    <w:rsid w:val="00A246E2"/>
    <w:rsid w:val="00A2515B"/>
    <w:rsid w:val="00A26040"/>
    <w:rsid w:val="00A26CFC"/>
    <w:rsid w:val="00A2770A"/>
    <w:rsid w:val="00A27914"/>
    <w:rsid w:val="00A27AFD"/>
    <w:rsid w:val="00A314A7"/>
    <w:rsid w:val="00A3236D"/>
    <w:rsid w:val="00A326E5"/>
    <w:rsid w:val="00A32977"/>
    <w:rsid w:val="00A33E8A"/>
    <w:rsid w:val="00A3421B"/>
    <w:rsid w:val="00A3470B"/>
    <w:rsid w:val="00A34FCA"/>
    <w:rsid w:val="00A3589F"/>
    <w:rsid w:val="00A3652F"/>
    <w:rsid w:val="00A36D38"/>
    <w:rsid w:val="00A378ED"/>
    <w:rsid w:val="00A412B5"/>
    <w:rsid w:val="00A413B1"/>
    <w:rsid w:val="00A41B3D"/>
    <w:rsid w:val="00A41B6F"/>
    <w:rsid w:val="00A41EB1"/>
    <w:rsid w:val="00A428A8"/>
    <w:rsid w:val="00A430E6"/>
    <w:rsid w:val="00A43365"/>
    <w:rsid w:val="00A43762"/>
    <w:rsid w:val="00A43AD7"/>
    <w:rsid w:val="00A43E53"/>
    <w:rsid w:val="00A4448C"/>
    <w:rsid w:val="00A44498"/>
    <w:rsid w:val="00A44C8E"/>
    <w:rsid w:val="00A453C0"/>
    <w:rsid w:val="00A457BA"/>
    <w:rsid w:val="00A45AF2"/>
    <w:rsid w:val="00A45EC7"/>
    <w:rsid w:val="00A4708A"/>
    <w:rsid w:val="00A4728D"/>
    <w:rsid w:val="00A4776C"/>
    <w:rsid w:val="00A47841"/>
    <w:rsid w:val="00A47EDF"/>
    <w:rsid w:val="00A5064D"/>
    <w:rsid w:val="00A51CEB"/>
    <w:rsid w:val="00A51EE1"/>
    <w:rsid w:val="00A52A0F"/>
    <w:rsid w:val="00A52CBB"/>
    <w:rsid w:val="00A53700"/>
    <w:rsid w:val="00A54D0D"/>
    <w:rsid w:val="00A55A84"/>
    <w:rsid w:val="00A576D9"/>
    <w:rsid w:val="00A6057F"/>
    <w:rsid w:val="00A60871"/>
    <w:rsid w:val="00A60AE7"/>
    <w:rsid w:val="00A61660"/>
    <w:rsid w:val="00A62B82"/>
    <w:rsid w:val="00A633D9"/>
    <w:rsid w:val="00A63715"/>
    <w:rsid w:val="00A66B56"/>
    <w:rsid w:val="00A6724A"/>
    <w:rsid w:val="00A67853"/>
    <w:rsid w:val="00A67D22"/>
    <w:rsid w:val="00A7061F"/>
    <w:rsid w:val="00A7132D"/>
    <w:rsid w:val="00A71AFB"/>
    <w:rsid w:val="00A71B53"/>
    <w:rsid w:val="00A721DF"/>
    <w:rsid w:val="00A72CDE"/>
    <w:rsid w:val="00A7479D"/>
    <w:rsid w:val="00A747B5"/>
    <w:rsid w:val="00A74A40"/>
    <w:rsid w:val="00A7591B"/>
    <w:rsid w:val="00A75CD3"/>
    <w:rsid w:val="00A7657E"/>
    <w:rsid w:val="00A7676E"/>
    <w:rsid w:val="00A76BFF"/>
    <w:rsid w:val="00A77233"/>
    <w:rsid w:val="00A8155B"/>
    <w:rsid w:val="00A818B6"/>
    <w:rsid w:val="00A82373"/>
    <w:rsid w:val="00A82BE8"/>
    <w:rsid w:val="00A82DB2"/>
    <w:rsid w:val="00A830D0"/>
    <w:rsid w:val="00A8382C"/>
    <w:rsid w:val="00A8461E"/>
    <w:rsid w:val="00A84A0F"/>
    <w:rsid w:val="00A86181"/>
    <w:rsid w:val="00A86836"/>
    <w:rsid w:val="00A86ECD"/>
    <w:rsid w:val="00A8701F"/>
    <w:rsid w:val="00A8795B"/>
    <w:rsid w:val="00A87A6C"/>
    <w:rsid w:val="00A901BE"/>
    <w:rsid w:val="00A90EEF"/>
    <w:rsid w:val="00A91154"/>
    <w:rsid w:val="00A911EE"/>
    <w:rsid w:val="00A937FB"/>
    <w:rsid w:val="00A93833"/>
    <w:rsid w:val="00A93852"/>
    <w:rsid w:val="00A9398A"/>
    <w:rsid w:val="00A952C1"/>
    <w:rsid w:val="00A95345"/>
    <w:rsid w:val="00A95588"/>
    <w:rsid w:val="00A95DFA"/>
    <w:rsid w:val="00A96510"/>
    <w:rsid w:val="00A97FA0"/>
    <w:rsid w:val="00AA0164"/>
    <w:rsid w:val="00AA02DA"/>
    <w:rsid w:val="00AA08F7"/>
    <w:rsid w:val="00AA09EB"/>
    <w:rsid w:val="00AA0AB4"/>
    <w:rsid w:val="00AA1004"/>
    <w:rsid w:val="00AA12A2"/>
    <w:rsid w:val="00AA19C8"/>
    <w:rsid w:val="00AA1D1C"/>
    <w:rsid w:val="00AA2D0C"/>
    <w:rsid w:val="00AA2D67"/>
    <w:rsid w:val="00AA3010"/>
    <w:rsid w:val="00AA3A13"/>
    <w:rsid w:val="00AA3AD5"/>
    <w:rsid w:val="00AA4EDB"/>
    <w:rsid w:val="00AA52CF"/>
    <w:rsid w:val="00AA5519"/>
    <w:rsid w:val="00AA573F"/>
    <w:rsid w:val="00AA5856"/>
    <w:rsid w:val="00AA5E2C"/>
    <w:rsid w:val="00AA6D5E"/>
    <w:rsid w:val="00AA6E69"/>
    <w:rsid w:val="00AA74CF"/>
    <w:rsid w:val="00AA79EC"/>
    <w:rsid w:val="00AB0029"/>
    <w:rsid w:val="00AB066D"/>
    <w:rsid w:val="00AB0A41"/>
    <w:rsid w:val="00AB0B24"/>
    <w:rsid w:val="00AB0D07"/>
    <w:rsid w:val="00AB0EA7"/>
    <w:rsid w:val="00AB130C"/>
    <w:rsid w:val="00AB1638"/>
    <w:rsid w:val="00AB35B8"/>
    <w:rsid w:val="00AB461F"/>
    <w:rsid w:val="00AB5312"/>
    <w:rsid w:val="00AB5FD4"/>
    <w:rsid w:val="00AB6760"/>
    <w:rsid w:val="00AB73D6"/>
    <w:rsid w:val="00AB7C5A"/>
    <w:rsid w:val="00AC072B"/>
    <w:rsid w:val="00AC1059"/>
    <w:rsid w:val="00AC17F5"/>
    <w:rsid w:val="00AC2499"/>
    <w:rsid w:val="00AC2EE2"/>
    <w:rsid w:val="00AC4207"/>
    <w:rsid w:val="00AC4456"/>
    <w:rsid w:val="00AC4A22"/>
    <w:rsid w:val="00AC5157"/>
    <w:rsid w:val="00AC5DE3"/>
    <w:rsid w:val="00AC5EBE"/>
    <w:rsid w:val="00AC670A"/>
    <w:rsid w:val="00AC7A0F"/>
    <w:rsid w:val="00AC7EBB"/>
    <w:rsid w:val="00AD16B3"/>
    <w:rsid w:val="00AD26C4"/>
    <w:rsid w:val="00AD3035"/>
    <w:rsid w:val="00AD3951"/>
    <w:rsid w:val="00AD3984"/>
    <w:rsid w:val="00AD52BA"/>
    <w:rsid w:val="00AD586E"/>
    <w:rsid w:val="00AD5C86"/>
    <w:rsid w:val="00AD5C8C"/>
    <w:rsid w:val="00AD658D"/>
    <w:rsid w:val="00AD7630"/>
    <w:rsid w:val="00AE0124"/>
    <w:rsid w:val="00AE094C"/>
    <w:rsid w:val="00AE0951"/>
    <w:rsid w:val="00AE1091"/>
    <w:rsid w:val="00AE1C07"/>
    <w:rsid w:val="00AE2C22"/>
    <w:rsid w:val="00AE49E7"/>
    <w:rsid w:val="00AE5339"/>
    <w:rsid w:val="00AE5E5C"/>
    <w:rsid w:val="00AE5F5F"/>
    <w:rsid w:val="00AE63EE"/>
    <w:rsid w:val="00AE6431"/>
    <w:rsid w:val="00AE6B06"/>
    <w:rsid w:val="00AE6CDF"/>
    <w:rsid w:val="00AF0250"/>
    <w:rsid w:val="00AF04D2"/>
    <w:rsid w:val="00AF14C2"/>
    <w:rsid w:val="00AF1903"/>
    <w:rsid w:val="00AF228D"/>
    <w:rsid w:val="00AF3AF8"/>
    <w:rsid w:val="00AF50EB"/>
    <w:rsid w:val="00AF5BDF"/>
    <w:rsid w:val="00AF77C2"/>
    <w:rsid w:val="00AF789D"/>
    <w:rsid w:val="00B00B67"/>
    <w:rsid w:val="00B0269D"/>
    <w:rsid w:val="00B027A2"/>
    <w:rsid w:val="00B02CD1"/>
    <w:rsid w:val="00B02E5D"/>
    <w:rsid w:val="00B04847"/>
    <w:rsid w:val="00B049F3"/>
    <w:rsid w:val="00B0510D"/>
    <w:rsid w:val="00B054C6"/>
    <w:rsid w:val="00B05876"/>
    <w:rsid w:val="00B05A5C"/>
    <w:rsid w:val="00B06988"/>
    <w:rsid w:val="00B06AE3"/>
    <w:rsid w:val="00B0727C"/>
    <w:rsid w:val="00B07554"/>
    <w:rsid w:val="00B10F04"/>
    <w:rsid w:val="00B11A04"/>
    <w:rsid w:val="00B12E60"/>
    <w:rsid w:val="00B148DD"/>
    <w:rsid w:val="00B1536A"/>
    <w:rsid w:val="00B1540E"/>
    <w:rsid w:val="00B155B8"/>
    <w:rsid w:val="00B15D78"/>
    <w:rsid w:val="00B1663A"/>
    <w:rsid w:val="00B17422"/>
    <w:rsid w:val="00B17776"/>
    <w:rsid w:val="00B177C6"/>
    <w:rsid w:val="00B17B7F"/>
    <w:rsid w:val="00B17B90"/>
    <w:rsid w:val="00B21616"/>
    <w:rsid w:val="00B2326F"/>
    <w:rsid w:val="00B23D39"/>
    <w:rsid w:val="00B246FE"/>
    <w:rsid w:val="00B24C50"/>
    <w:rsid w:val="00B269E3"/>
    <w:rsid w:val="00B27979"/>
    <w:rsid w:val="00B27A6B"/>
    <w:rsid w:val="00B27B07"/>
    <w:rsid w:val="00B27F7A"/>
    <w:rsid w:val="00B308AE"/>
    <w:rsid w:val="00B315F5"/>
    <w:rsid w:val="00B31663"/>
    <w:rsid w:val="00B32483"/>
    <w:rsid w:val="00B339E5"/>
    <w:rsid w:val="00B3467E"/>
    <w:rsid w:val="00B34BA9"/>
    <w:rsid w:val="00B34D9D"/>
    <w:rsid w:val="00B3683B"/>
    <w:rsid w:val="00B36B5A"/>
    <w:rsid w:val="00B3727D"/>
    <w:rsid w:val="00B37413"/>
    <w:rsid w:val="00B37DBC"/>
    <w:rsid w:val="00B403BC"/>
    <w:rsid w:val="00B40D56"/>
    <w:rsid w:val="00B4304F"/>
    <w:rsid w:val="00B43AB3"/>
    <w:rsid w:val="00B440B0"/>
    <w:rsid w:val="00B44625"/>
    <w:rsid w:val="00B452F2"/>
    <w:rsid w:val="00B461CE"/>
    <w:rsid w:val="00B46AAC"/>
    <w:rsid w:val="00B47624"/>
    <w:rsid w:val="00B478A7"/>
    <w:rsid w:val="00B47ACC"/>
    <w:rsid w:val="00B47F5D"/>
    <w:rsid w:val="00B503E0"/>
    <w:rsid w:val="00B50E08"/>
    <w:rsid w:val="00B512C6"/>
    <w:rsid w:val="00B5156F"/>
    <w:rsid w:val="00B51F14"/>
    <w:rsid w:val="00B5224A"/>
    <w:rsid w:val="00B5266B"/>
    <w:rsid w:val="00B52ABF"/>
    <w:rsid w:val="00B531BA"/>
    <w:rsid w:val="00B5346F"/>
    <w:rsid w:val="00B53F30"/>
    <w:rsid w:val="00B5572C"/>
    <w:rsid w:val="00B557CB"/>
    <w:rsid w:val="00B561E6"/>
    <w:rsid w:val="00B565FB"/>
    <w:rsid w:val="00B57C6E"/>
    <w:rsid w:val="00B57C7F"/>
    <w:rsid w:val="00B6024E"/>
    <w:rsid w:val="00B60A1E"/>
    <w:rsid w:val="00B61712"/>
    <w:rsid w:val="00B61889"/>
    <w:rsid w:val="00B6216B"/>
    <w:rsid w:val="00B624CB"/>
    <w:rsid w:val="00B631FF"/>
    <w:rsid w:val="00B64A0D"/>
    <w:rsid w:val="00B65F9F"/>
    <w:rsid w:val="00B660DB"/>
    <w:rsid w:val="00B6792D"/>
    <w:rsid w:val="00B67ECE"/>
    <w:rsid w:val="00B70015"/>
    <w:rsid w:val="00B702D3"/>
    <w:rsid w:val="00B7030C"/>
    <w:rsid w:val="00B7064C"/>
    <w:rsid w:val="00B7288C"/>
    <w:rsid w:val="00B72D2A"/>
    <w:rsid w:val="00B73853"/>
    <w:rsid w:val="00B74E7B"/>
    <w:rsid w:val="00B7561B"/>
    <w:rsid w:val="00B764B4"/>
    <w:rsid w:val="00B7707F"/>
    <w:rsid w:val="00B7731C"/>
    <w:rsid w:val="00B801FF"/>
    <w:rsid w:val="00B814CB"/>
    <w:rsid w:val="00B819E8"/>
    <w:rsid w:val="00B81B82"/>
    <w:rsid w:val="00B81BEE"/>
    <w:rsid w:val="00B82C71"/>
    <w:rsid w:val="00B83904"/>
    <w:rsid w:val="00B848BC"/>
    <w:rsid w:val="00B84CD4"/>
    <w:rsid w:val="00B851E0"/>
    <w:rsid w:val="00B8532B"/>
    <w:rsid w:val="00B87929"/>
    <w:rsid w:val="00B87AF2"/>
    <w:rsid w:val="00B906EC"/>
    <w:rsid w:val="00B9085D"/>
    <w:rsid w:val="00B91189"/>
    <w:rsid w:val="00B91B51"/>
    <w:rsid w:val="00B92002"/>
    <w:rsid w:val="00B92367"/>
    <w:rsid w:val="00B924D0"/>
    <w:rsid w:val="00B92581"/>
    <w:rsid w:val="00B9266A"/>
    <w:rsid w:val="00B93132"/>
    <w:rsid w:val="00B935C7"/>
    <w:rsid w:val="00B9364B"/>
    <w:rsid w:val="00B9415A"/>
    <w:rsid w:val="00B942D2"/>
    <w:rsid w:val="00B94EF1"/>
    <w:rsid w:val="00B951D8"/>
    <w:rsid w:val="00B957AF"/>
    <w:rsid w:val="00B95E10"/>
    <w:rsid w:val="00B95F2B"/>
    <w:rsid w:val="00B95FC0"/>
    <w:rsid w:val="00B96426"/>
    <w:rsid w:val="00B9744E"/>
    <w:rsid w:val="00B9765D"/>
    <w:rsid w:val="00B97B9A"/>
    <w:rsid w:val="00B97F62"/>
    <w:rsid w:val="00BA075A"/>
    <w:rsid w:val="00BA075D"/>
    <w:rsid w:val="00BA09BB"/>
    <w:rsid w:val="00BA0A6C"/>
    <w:rsid w:val="00BA0A9F"/>
    <w:rsid w:val="00BA0ACB"/>
    <w:rsid w:val="00BA0D23"/>
    <w:rsid w:val="00BA15E1"/>
    <w:rsid w:val="00BA2914"/>
    <w:rsid w:val="00BA29F3"/>
    <w:rsid w:val="00BA2D30"/>
    <w:rsid w:val="00BA3D8B"/>
    <w:rsid w:val="00BA3DFE"/>
    <w:rsid w:val="00BA3EE3"/>
    <w:rsid w:val="00BA609A"/>
    <w:rsid w:val="00BA6893"/>
    <w:rsid w:val="00BA780D"/>
    <w:rsid w:val="00BA7C7C"/>
    <w:rsid w:val="00BB29B8"/>
    <w:rsid w:val="00BB2FD1"/>
    <w:rsid w:val="00BB3B8E"/>
    <w:rsid w:val="00BB4077"/>
    <w:rsid w:val="00BB5942"/>
    <w:rsid w:val="00BB64E0"/>
    <w:rsid w:val="00BB6C41"/>
    <w:rsid w:val="00BB77C9"/>
    <w:rsid w:val="00BB79F8"/>
    <w:rsid w:val="00BB7C05"/>
    <w:rsid w:val="00BB7DCB"/>
    <w:rsid w:val="00BB7E14"/>
    <w:rsid w:val="00BB7FF6"/>
    <w:rsid w:val="00BC08EC"/>
    <w:rsid w:val="00BC18B7"/>
    <w:rsid w:val="00BC242C"/>
    <w:rsid w:val="00BC24CB"/>
    <w:rsid w:val="00BC2B5B"/>
    <w:rsid w:val="00BC3540"/>
    <w:rsid w:val="00BC3621"/>
    <w:rsid w:val="00BC46BB"/>
    <w:rsid w:val="00BC499F"/>
    <w:rsid w:val="00BC587E"/>
    <w:rsid w:val="00BC63BD"/>
    <w:rsid w:val="00BC63CA"/>
    <w:rsid w:val="00BC6901"/>
    <w:rsid w:val="00BC6FDA"/>
    <w:rsid w:val="00BC7602"/>
    <w:rsid w:val="00BC7892"/>
    <w:rsid w:val="00BC7FEE"/>
    <w:rsid w:val="00BD0453"/>
    <w:rsid w:val="00BD0588"/>
    <w:rsid w:val="00BD0641"/>
    <w:rsid w:val="00BD0B19"/>
    <w:rsid w:val="00BD132E"/>
    <w:rsid w:val="00BD17B3"/>
    <w:rsid w:val="00BD19B4"/>
    <w:rsid w:val="00BD206E"/>
    <w:rsid w:val="00BD2759"/>
    <w:rsid w:val="00BD2E0F"/>
    <w:rsid w:val="00BD353A"/>
    <w:rsid w:val="00BD364F"/>
    <w:rsid w:val="00BD3DF7"/>
    <w:rsid w:val="00BD409A"/>
    <w:rsid w:val="00BD46FB"/>
    <w:rsid w:val="00BD4988"/>
    <w:rsid w:val="00BD5465"/>
    <w:rsid w:val="00BD5CC8"/>
    <w:rsid w:val="00BD62C8"/>
    <w:rsid w:val="00BD62EE"/>
    <w:rsid w:val="00BD67ED"/>
    <w:rsid w:val="00BD6C0E"/>
    <w:rsid w:val="00BD6D72"/>
    <w:rsid w:val="00BD72F9"/>
    <w:rsid w:val="00BD788B"/>
    <w:rsid w:val="00BD7A91"/>
    <w:rsid w:val="00BE048E"/>
    <w:rsid w:val="00BE08CC"/>
    <w:rsid w:val="00BE141B"/>
    <w:rsid w:val="00BE144B"/>
    <w:rsid w:val="00BE1AB2"/>
    <w:rsid w:val="00BE1E02"/>
    <w:rsid w:val="00BE1F5E"/>
    <w:rsid w:val="00BE266E"/>
    <w:rsid w:val="00BE3A8F"/>
    <w:rsid w:val="00BE3BC6"/>
    <w:rsid w:val="00BE4542"/>
    <w:rsid w:val="00BE46A1"/>
    <w:rsid w:val="00BE4E9C"/>
    <w:rsid w:val="00BE5592"/>
    <w:rsid w:val="00BE56FE"/>
    <w:rsid w:val="00BE5A49"/>
    <w:rsid w:val="00BE5D3C"/>
    <w:rsid w:val="00BE6244"/>
    <w:rsid w:val="00BE78C6"/>
    <w:rsid w:val="00BF0ECE"/>
    <w:rsid w:val="00BF1584"/>
    <w:rsid w:val="00BF23B5"/>
    <w:rsid w:val="00BF3192"/>
    <w:rsid w:val="00BF3E6B"/>
    <w:rsid w:val="00BF4B90"/>
    <w:rsid w:val="00BF4F30"/>
    <w:rsid w:val="00BF573A"/>
    <w:rsid w:val="00BF5EBF"/>
    <w:rsid w:val="00BF62D3"/>
    <w:rsid w:val="00BF62ED"/>
    <w:rsid w:val="00BF7082"/>
    <w:rsid w:val="00BF7C92"/>
    <w:rsid w:val="00C00EBE"/>
    <w:rsid w:val="00C02532"/>
    <w:rsid w:val="00C02619"/>
    <w:rsid w:val="00C03B2A"/>
    <w:rsid w:val="00C047DD"/>
    <w:rsid w:val="00C0481A"/>
    <w:rsid w:val="00C048F2"/>
    <w:rsid w:val="00C04CF3"/>
    <w:rsid w:val="00C04ECE"/>
    <w:rsid w:val="00C05305"/>
    <w:rsid w:val="00C05356"/>
    <w:rsid w:val="00C06138"/>
    <w:rsid w:val="00C069BC"/>
    <w:rsid w:val="00C06B4D"/>
    <w:rsid w:val="00C073EF"/>
    <w:rsid w:val="00C07FC9"/>
    <w:rsid w:val="00C10077"/>
    <w:rsid w:val="00C1068E"/>
    <w:rsid w:val="00C1111C"/>
    <w:rsid w:val="00C1164D"/>
    <w:rsid w:val="00C15BEF"/>
    <w:rsid w:val="00C163A9"/>
    <w:rsid w:val="00C16CB3"/>
    <w:rsid w:val="00C16CFA"/>
    <w:rsid w:val="00C16E27"/>
    <w:rsid w:val="00C16F1B"/>
    <w:rsid w:val="00C20340"/>
    <w:rsid w:val="00C21A8F"/>
    <w:rsid w:val="00C22D0E"/>
    <w:rsid w:val="00C22F55"/>
    <w:rsid w:val="00C231BA"/>
    <w:rsid w:val="00C23BA8"/>
    <w:rsid w:val="00C2427C"/>
    <w:rsid w:val="00C247F9"/>
    <w:rsid w:val="00C249BC"/>
    <w:rsid w:val="00C24ABC"/>
    <w:rsid w:val="00C24E42"/>
    <w:rsid w:val="00C24FCA"/>
    <w:rsid w:val="00C251C9"/>
    <w:rsid w:val="00C257ED"/>
    <w:rsid w:val="00C25A55"/>
    <w:rsid w:val="00C26254"/>
    <w:rsid w:val="00C26ED9"/>
    <w:rsid w:val="00C26FF9"/>
    <w:rsid w:val="00C279A2"/>
    <w:rsid w:val="00C27D64"/>
    <w:rsid w:val="00C318FE"/>
    <w:rsid w:val="00C327E4"/>
    <w:rsid w:val="00C32EAA"/>
    <w:rsid w:val="00C34492"/>
    <w:rsid w:val="00C353B8"/>
    <w:rsid w:val="00C3540F"/>
    <w:rsid w:val="00C35897"/>
    <w:rsid w:val="00C35DB0"/>
    <w:rsid w:val="00C36476"/>
    <w:rsid w:val="00C365C1"/>
    <w:rsid w:val="00C36CAA"/>
    <w:rsid w:val="00C4004E"/>
    <w:rsid w:val="00C40ABC"/>
    <w:rsid w:val="00C40E13"/>
    <w:rsid w:val="00C43160"/>
    <w:rsid w:val="00C43309"/>
    <w:rsid w:val="00C43A9D"/>
    <w:rsid w:val="00C44B69"/>
    <w:rsid w:val="00C44FC4"/>
    <w:rsid w:val="00C452C8"/>
    <w:rsid w:val="00C45567"/>
    <w:rsid w:val="00C4657B"/>
    <w:rsid w:val="00C46822"/>
    <w:rsid w:val="00C47A4A"/>
    <w:rsid w:val="00C5084B"/>
    <w:rsid w:val="00C510D0"/>
    <w:rsid w:val="00C51F4A"/>
    <w:rsid w:val="00C5253D"/>
    <w:rsid w:val="00C52F19"/>
    <w:rsid w:val="00C52FAD"/>
    <w:rsid w:val="00C54412"/>
    <w:rsid w:val="00C54FBB"/>
    <w:rsid w:val="00C55269"/>
    <w:rsid w:val="00C55283"/>
    <w:rsid w:val="00C553B5"/>
    <w:rsid w:val="00C56673"/>
    <w:rsid w:val="00C56B44"/>
    <w:rsid w:val="00C571B1"/>
    <w:rsid w:val="00C577CE"/>
    <w:rsid w:val="00C57A74"/>
    <w:rsid w:val="00C57D79"/>
    <w:rsid w:val="00C60337"/>
    <w:rsid w:val="00C60B9B"/>
    <w:rsid w:val="00C61EEC"/>
    <w:rsid w:val="00C62D57"/>
    <w:rsid w:val="00C633E9"/>
    <w:rsid w:val="00C65208"/>
    <w:rsid w:val="00C65A24"/>
    <w:rsid w:val="00C65F38"/>
    <w:rsid w:val="00C712B2"/>
    <w:rsid w:val="00C7145B"/>
    <w:rsid w:val="00C719DE"/>
    <w:rsid w:val="00C71EEA"/>
    <w:rsid w:val="00C72523"/>
    <w:rsid w:val="00C74E4F"/>
    <w:rsid w:val="00C75515"/>
    <w:rsid w:val="00C75801"/>
    <w:rsid w:val="00C76EDD"/>
    <w:rsid w:val="00C8096C"/>
    <w:rsid w:val="00C80FDC"/>
    <w:rsid w:val="00C82529"/>
    <w:rsid w:val="00C82C78"/>
    <w:rsid w:val="00C834EE"/>
    <w:rsid w:val="00C836BE"/>
    <w:rsid w:val="00C83A1D"/>
    <w:rsid w:val="00C83FEF"/>
    <w:rsid w:val="00C846F0"/>
    <w:rsid w:val="00C84A50"/>
    <w:rsid w:val="00C84CE9"/>
    <w:rsid w:val="00C84E72"/>
    <w:rsid w:val="00C84E7C"/>
    <w:rsid w:val="00C8563C"/>
    <w:rsid w:val="00C85E36"/>
    <w:rsid w:val="00C85E89"/>
    <w:rsid w:val="00C86379"/>
    <w:rsid w:val="00C8638D"/>
    <w:rsid w:val="00C866D1"/>
    <w:rsid w:val="00C86D7F"/>
    <w:rsid w:val="00C87C3E"/>
    <w:rsid w:val="00C90577"/>
    <w:rsid w:val="00C90FF9"/>
    <w:rsid w:val="00C92550"/>
    <w:rsid w:val="00C92F6B"/>
    <w:rsid w:val="00C93AC1"/>
    <w:rsid w:val="00C95C2F"/>
    <w:rsid w:val="00C9690E"/>
    <w:rsid w:val="00C96A02"/>
    <w:rsid w:val="00C96A51"/>
    <w:rsid w:val="00C96A64"/>
    <w:rsid w:val="00C970EF"/>
    <w:rsid w:val="00CA0DE6"/>
    <w:rsid w:val="00CA1341"/>
    <w:rsid w:val="00CA301E"/>
    <w:rsid w:val="00CA3522"/>
    <w:rsid w:val="00CA38A4"/>
    <w:rsid w:val="00CA3EA2"/>
    <w:rsid w:val="00CA3FBE"/>
    <w:rsid w:val="00CA44D8"/>
    <w:rsid w:val="00CA467F"/>
    <w:rsid w:val="00CA519C"/>
    <w:rsid w:val="00CA51E7"/>
    <w:rsid w:val="00CA53F2"/>
    <w:rsid w:val="00CA5DF0"/>
    <w:rsid w:val="00CA7A42"/>
    <w:rsid w:val="00CB0627"/>
    <w:rsid w:val="00CB09C3"/>
    <w:rsid w:val="00CB231F"/>
    <w:rsid w:val="00CB295C"/>
    <w:rsid w:val="00CB340C"/>
    <w:rsid w:val="00CB3C10"/>
    <w:rsid w:val="00CB3CF7"/>
    <w:rsid w:val="00CB442D"/>
    <w:rsid w:val="00CB4CE3"/>
    <w:rsid w:val="00CB4CE9"/>
    <w:rsid w:val="00CB616B"/>
    <w:rsid w:val="00CB65AB"/>
    <w:rsid w:val="00CB6946"/>
    <w:rsid w:val="00CB7E8D"/>
    <w:rsid w:val="00CC13B2"/>
    <w:rsid w:val="00CC171F"/>
    <w:rsid w:val="00CC1779"/>
    <w:rsid w:val="00CC1A39"/>
    <w:rsid w:val="00CC1B60"/>
    <w:rsid w:val="00CC2767"/>
    <w:rsid w:val="00CC2FBC"/>
    <w:rsid w:val="00CC317D"/>
    <w:rsid w:val="00CC3244"/>
    <w:rsid w:val="00CC374E"/>
    <w:rsid w:val="00CC5D49"/>
    <w:rsid w:val="00CC5EBE"/>
    <w:rsid w:val="00CC6660"/>
    <w:rsid w:val="00CC66A0"/>
    <w:rsid w:val="00CC78CD"/>
    <w:rsid w:val="00CC7DE6"/>
    <w:rsid w:val="00CD0646"/>
    <w:rsid w:val="00CD06B2"/>
    <w:rsid w:val="00CD0C92"/>
    <w:rsid w:val="00CD0D4A"/>
    <w:rsid w:val="00CD103B"/>
    <w:rsid w:val="00CD1772"/>
    <w:rsid w:val="00CD2317"/>
    <w:rsid w:val="00CD26E6"/>
    <w:rsid w:val="00CD2DE5"/>
    <w:rsid w:val="00CD3087"/>
    <w:rsid w:val="00CD3109"/>
    <w:rsid w:val="00CD4430"/>
    <w:rsid w:val="00CD47F2"/>
    <w:rsid w:val="00CD602D"/>
    <w:rsid w:val="00CD7C64"/>
    <w:rsid w:val="00CE0541"/>
    <w:rsid w:val="00CE1263"/>
    <w:rsid w:val="00CE2D72"/>
    <w:rsid w:val="00CE37B3"/>
    <w:rsid w:val="00CE3D1F"/>
    <w:rsid w:val="00CE4CEE"/>
    <w:rsid w:val="00CE5535"/>
    <w:rsid w:val="00CE60D2"/>
    <w:rsid w:val="00CE62BD"/>
    <w:rsid w:val="00CE6843"/>
    <w:rsid w:val="00CE7008"/>
    <w:rsid w:val="00CE7142"/>
    <w:rsid w:val="00CE71DA"/>
    <w:rsid w:val="00CE7C11"/>
    <w:rsid w:val="00CE7F4E"/>
    <w:rsid w:val="00CF00DA"/>
    <w:rsid w:val="00CF0319"/>
    <w:rsid w:val="00CF09DF"/>
    <w:rsid w:val="00CF0FD1"/>
    <w:rsid w:val="00CF1671"/>
    <w:rsid w:val="00CF1B78"/>
    <w:rsid w:val="00CF22B3"/>
    <w:rsid w:val="00CF27CE"/>
    <w:rsid w:val="00CF4998"/>
    <w:rsid w:val="00CF4F79"/>
    <w:rsid w:val="00CF501F"/>
    <w:rsid w:val="00CF526D"/>
    <w:rsid w:val="00CF5B8A"/>
    <w:rsid w:val="00CF5D09"/>
    <w:rsid w:val="00CF6D4E"/>
    <w:rsid w:val="00CF7020"/>
    <w:rsid w:val="00D000C5"/>
    <w:rsid w:val="00D00545"/>
    <w:rsid w:val="00D007ED"/>
    <w:rsid w:val="00D03CFC"/>
    <w:rsid w:val="00D03E51"/>
    <w:rsid w:val="00D03FF8"/>
    <w:rsid w:val="00D042F1"/>
    <w:rsid w:val="00D04408"/>
    <w:rsid w:val="00D04ED4"/>
    <w:rsid w:val="00D04F29"/>
    <w:rsid w:val="00D07113"/>
    <w:rsid w:val="00D07207"/>
    <w:rsid w:val="00D075E5"/>
    <w:rsid w:val="00D07A72"/>
    <w:rsid w:val="00D07A7E"/>
    <w:rsid w:val="00D103ED"/>
    <w:rsid w:val="00D108B9"/>
    <w:rsid w:val="00D114E0"/>
    <w:rsid w:val="00D1186D"/>
    <w:rsid w:val="00D11BD0"/>
    <w:rsid w:val="00D11EDD"/>
    <w:rsid w:val="00D125E2"/>
    <w:rsid w:val="00D12983"/>
    <w:rsid w:val="00D12A23"/>
    <w:rsid w:val="00D141B0"/>
    <w:rsid w:val="00D14246"/>
    <w:rsid w:val="00D144AF"/>
    <w:rsid w:val="00D14C55"/>
    <w:rsid w:val="00D14D00"/>
    <w:rsid w:val="00D14E78"/>
    <w:rsid w:val="00D163BD"/>
    <w:rsid w:val="00D16AC2"/>
    <w:rsid w:val="00D16B58"/>
    <w:rsid w:val="00D2018D"/>
    <w:rsid w:val="00D20D7E"/>
    <w:rsid w:val="00D22459"/>
    <w:rsid w:val="00D225CF"/>
    <w:rsid w:val="00D22F06"/>
    <w:rsid w:val="00D23023"/>
    <w:rsid w:val="00D232DA"/>
    <w:rsid w:val="00D23CBF"/>
    <w:rsid w:val="00D24052"/>
    <w:rsid w:val="00D245C7"/>
    <w:rsid w:val="00D24D34"/>
    <w:rsid w:val="00D25A04"/>
    <w:rsid w:val="00D2756F"/>
    <w:rsid w:val="00D27AFA"/>
    <w:rsid w:val="00D303EB"/>
    <w:rsid w:val="00D3063A"/>
    <w:rsid w:val="00D30BEA"/>
    <w:rsid w:val="00D30E77"/>
    <w:rsid w:val="00D3166F"/>
    <w:rsid w:val="00D3185F"/>
    <w:rsid w:val="00D31FA7"/>
    <w:rsid w:val="00D328E5"/>
    <w:rsid w:val="00D34862"/>
    <w:rsid w:val="00D34A0D"/>
    <w:rsid w:val="00D34EBC"/>
    <w:rsid w:val="00D35A5D"/>
    <w:rsid w:val="00D3606B"/>
    <w:rsid w:val="00D36DBC"/>
    <w:rsid w:val="00D370DA"/>
    <w:rsid w:val="00D375E0"/>
    <w:rsid w:val="00D37CA4"/>
    <w:rsid w:val="00D40906"/>
    <w:rsid w:val="00D410FC"/>
    <w:rsid w:val="00D41A87"/>
    <w:rsid w:val="00D41BF7"/>
    <w:rsid w:val="00D42A01"/>
    <w:rsid w:val="00D42B1A"/>
    <w:rsid w:val="00D42C34"/>
    <w:rsid w:val="00D43488"/>
    <w:rsid w:val="00D43F69"/>
    <w:rsid w:val="00D44207"/>
    <w:rsid w:val="00D4505A"/>
    <w:rsid w:val="00D45AC9"/>
    <w:rsid w:val="00D45CCA"/>
    <w:rsid w:val="00D46299"/>
    <w:rsid w:val="00D46402"/>
    <w:rsid w:val="00D47642"/>
    <w:rsid w:val="00D47C45"/>
    <w:rsid w:val="00D501EE"/>
    <w:rsid w:val="00D5094A"/>
    <w:rsid w:val="00D5147A"/>
    <w:rsid w:val="00D51924"/>
    <w:rsid w:val="00D51A30"/>
    <w:rsid w:val="00D52278"/>
    <w:rsid w:val="00D525FF"/>
    <w:rsid w:val="00D52959"/>
    <w:rsid w:val="00D52BD6"/>
    <w:rsid w:val="00D5352F"/>
    <w:rsid w:val="00D54205"/>
    <w:rsid w:val="00D5551D"/>
    <w:rsid w:val="00D556B9"/>
    <w:rsid w:val="00D56C0A"/>
    <w:rsid w:val="00D56D83"/>
    <w:rsid w:val="00D57171"/>
    <w:rsid w:val="00D57E2A"/>
    <w:rsid w:val="00D60C56"/>
    <w:rsid w:val="00D615F7"/>
    <w:rsid w:val="00D61604"/>
    <w:rsid w:val="00D644CA"/>
    <w:rsid w:val="00D649AA"/>
    <w:rsid w:val="00D64CE5"/>
    <w:rsid w:val="00D64DAB"/>
    <w:rsid w:val="00D64DE5"/>
    <w:rsid w:val="00D64FB2"/>
    <w:rsid w:val="00D653D9"/>
    <w:rsid w:val="00D6543C"/>
    <w:rsid w:val="00D65443"/>
    <w:rsid w:val="00D65626"/>
    <w:rsid w:val="00D6608D"/>
    <w:rsid w:val="00D660FB"/>
    <w:rsid w:val="00D662AC"/>
    <w:rsid w:val="00D66DA8"/>
    <w:rsid w:val="00D66E88"/>
    <w:rsid w:val="00D6707B"/>
    <w:rsid w:val="00D67870"/>
    <w:rsid w:val="00D70024"/>
    <w:rsid w:val="00D70213"/>
    <w:rsid w:val="00D7046E"/>
    <w:rsid w:val="00D71083"/>
    <w:rsid w:val="00D710E6"/>
    <w:rsid w:val="00D71B12"/>
    <w:rsid w:val="00D746B5"/>
    <w:rsid w:val="00D74903"/>
    <w:rsid w:val="00D7491E"/>
    <w:rsid w:val="00D74B47"/>
    <w:rsid w:val="00D74F31"/>
    <w:rsid w:val="00D75B0B"/>
    <w:rsid w:val="00D75D17"/>
    <w:rsid w:val="00D761DC"/>
    <w:rsid w:val="00D76976"/>
    <w:rsid w:val="00D76C40"/>
    <w:rsid w:val="00D77FB8"/>
    <w:rsid w:val="00D802AE"/>
    <w:rsid w:val="00D802BF"/>
    <w:rsid w:val="00D808B9"/>
    <w:rsid w:val="00D81B49"/>
    <w:rsid w:val="00D82DB2"/>
    <w:rsid w:val="00D84028"/>
    <w:rsid w:val="00D84F0F"/>
    <w:rsid w:val="00D853B1"/>
    <w:rsid w:val="00D86105"/>
    <w:rsid w:val="00D861D9"/>
    <w:rsid w:val="00D86AC0"/>
    <w:rsid w:val="00D86F7C"/>
    <w:rsid w:val="00D87303"/>
    <w:rsid w:val="00D87ACB"/>
    <w:rsid w:val="00D905B7"/>
    <w:rsid w:val="00D90A19"/>
    <w:rsid w:val="00D90A6F"/>
    <w:rsid w:val="00D90B77"/>
    <w:rsid w:val="00D916D5"/>
    <w:rsid w:val="00D9171F"/>
    <w:rsid w:val="00D92227"/>
    <w:rsid w:val="00D925AA"/>
    <w:rsid w:val="00D9349A"/>
    <w:rsid w:val="00D93E84"/>
    <w:rsid w:val="00D96D64"/>
    <w:rsid w:val="00D97150"/>
    <w:rsid w:val="00D974CA"/>
    <w:rsid w:val="00D97585"/>
    <w:rsid w:val="00D97C13"/>
    <w:rsid w:val="00D97FDC"/>
    <w:rsid w:val="00DA039C"/>
    <w:rsid w:val="00DA0657"/>
    <w:rsid w:val="00DA0B5C"/>
    <w:rsid w:val="00DA0E98"/>
    <w:rsid w:val="00DA1518"/>
    <w:rsid w:val="00DA17D6"/>
    <w:rsid w:val="00DA1B0F"/>
    <w:rsid w:val="00DA1F56"/>
    <w:rsid w:val="00DA23FA"/>
    <w:rsid w:val="00DA2597"/>
    <w:rsid w:val="00DA2AA5"/>
    <w:rsid w:val="00DA2C3C"/>
    <w:rsid w:val="00DA3261"/>
    <w:rsid w:val="00DA33A0"/>
    <w:rsid w:val="00DA3BFB"/>
    <w:rsid w:val="00DA43EE"/>
    <w:rsid w:val="00DA44F6"/>
    <w:rsid w:val="00DA5384"/>
    <w:rsid w:val="00DA551D"/>
    <w:rsid w:val="00DA57EC"/>
    <w:rsid w:val="00DA5F03"/>
    <w:rsid w:val="00DA65EC"/>
    <w:rsid w:val="00DA66A5"/>
    <w:rsid w:val="00DA778E"/>
    <w:rsid w:val="00DA7C09"/>
    <w:rsid w:val="00DA7DBB"/>
    <w:rsid w:val="00DB0C9F"/>
    <w:rsid w:val="00DB0F8B"/>
    <w:rsid w:val="00DB188C"/>
    <w:rsid w:val="00DB260C"/>
    <w:rsid w:val="00DB273E"/>
    <w:rsid w:val="00DB3908"/>
    <w:rsid w:val="00DB3A6F"/>
    <w:rsid w:val="00DB3BBE"/>
    <w:rsid w:val="00DB43C8"/>
    <w:rsid w:val="00DB4408"/>
    <w:rsid w:val="00DB48A4"/>
    <w:rsid w:val="00DB4DCE"/>
    <w:rsid w:val="00DB6E36"/>
    <w:rsid w:val="00DB70D3"/>
    <w:rsid w:val="00DB76B7"/>
    <w:rsid w:val="00DB780D"/>
    <w:rsid w:val="00DC09F6"/>
    <w:rsid w:val="00DC0BB1"/>
    <w:rsid w:val="00DC25D7"/>
    <w:rsid w:val="00DC2E46"/>
    <w:rsid w:val="00DC320C"/>
    <w:rsid w:val="00DC3F3D"/>
    <w:rsid w:val="00DC4183"/>
    <w:rsid w:val="00DC46E1"/>
    <w:rsid w:val="00DC4972"/>
    <w:rsid w:val="00DC50AF"/>
    <w:rsid w:val="00DC5E54"/>
    <w:rsid w:val="00DD03E2"/>
    <w:rsid w:val="00DD08A9"/>
    <w:rsid w:val="00DD21D3"/>
    <w:rsid w:val="00DD3320"/>
    <w:rsid w:val="00DD3671"/>
    <w:rsid w:val="00DD4119"/>
    <w:rsid w:val="00DD4627"/>
    <w:rsid w:val="00DD5138"/>
    <w:rsid w:val="00DD5A90"/>
    <w:rsid w:val="00DD5F4F"/>
    <w:rsid w:val="00DD6079"/>
    <w:rsid w:val="00DD61E0"/>
    <w:rsid w:val="00DD63B7"/>
    <w:rsid w:val="00DD6A5C"/>
    <w:rsid w:val="00DD6E57"/>
    <w:rsid w:val="00DD769F"/>
    <w:rsid w:val="00DD7F02"/>
    <w:rsid w:val="00DE208E"/>
    <w:rsid w:val="00DE2A0C"/>
    <w:rsid w:val="00DE2B89"/>
    <w:rsid w:val="00DE3015"/>
    <w:rsid w:val="00DE337D"/>
    <w:rsid w:val="00DE3BD1"/>
    <w:rsid w:val="00DE5844"/>
    <w:rsid w:val="00DE5871"/>
    <w:rsid w:val="00DE65AF"/>
    <w:rsid w:val="00DE671F"/>
    <w:rsid w:val="00DE6C71"/>
    <w:rsid w:val="00DE7D05"/>
    <w:rsid w:val="00DE7F11"/>
    <w:rsid w:val="00DF0052"/>
    <w:rsid w:val="00DF108D"/>
    <w:rsid w:val="00DF1D42"/>
    <w:rsid w:val="00DF1DF9"/>
    <w:rsid w:val="00DF2316"/>
    <w:rsid w:val="00DF2896"/>
    <w:rsid w:val="00DF3195"/>
    <w:rsid w:val="00DF3F9B"/>
    <w:rsid w:val="00DF4CB6"/>
    <w:rsid w:val="00DF5EE7"/>
    <w:rsid w:val="00DF5FB5"/>
    <w:rsid w:val="00DF6437"/>
    <w:rsid w:val="00DF6D06"/>
    <w:rsid w:val="00DF737F"/>
    <w:rsid w:val="00DF7CE9"/>
    <w:rsid w:val="00E00700"/>
    <w:rsid w:val="00E00978"/>
    <w:rsid w:val="00E00F0F"/>
    <w:rsid w:val="00E015DA"/>
    <w:rsid w:val="00E01865"/>
    <w:rsid w:val="00E03008"/>
    <w:rsid w:val="00E03CF8"/>
    <w:rsid w:val="00E04381"/>
    <w:rsid w:val="00E04F51"/>
    <w:rsid w:val="00E051F3"/>
    <w:rsid w:val="00E059D7"/>
    <w:rsid w:val="00E06F20"/>
    <w:rsid w:val="00E0756A"/>
    <w:rsid w:val="00E079CE"/>
    <w:rsid w:val="00E11367"/>
    <w:rsid w:val="00E11445"/>
    <w:rsid w:val="00E1151A"/>
    <w:rsid w:val="00E11A29"/>
    <w:rsid w:val="00E11B15"/>
    <w:rsid w:val="00E1254C"/>
    <w:rsid w:val="00E129E7"/>
    <w:rsid w:val="00E12F77"/>
    <w:rsid w:val="00E1352A"/>
    <w:rsid w:val="00E13DDA"/>
    <w:rsid w:val="00E140F6"/>
    <w:rsid w:val="00E147EC"/>
    <w:rsid w:val="00E14F4B"/>
    <w:rsid w:val="00E15AE6"/>
    <w:rsid w:val="00E1690F"/>
    <w:rsid w:val="00E17619"/>
    <w:rsid w:val="00E1777C"/>
    <w:rsid w:val="00E178DE"/>
    <w:rsid w:val="00E2044D"/>
    <w:rsid w:val="00E209B3"/>
    <w:rsid w:val="00E20B09"/>
    <w:rsid w:val="00E20C80"/>
    <w:rsid w:val="00E20E27"/>
    <w:rsid w:val="00E20EE9"/>
    <w:rsid w:val="00E20FF8"/>
    <w:rsid w:val="00E21C7E"/>
    <w:rsid w:val="00E22070"/>
    <w:rsid w:val="00E23529"/>
    <w:rsid w:val="00E2382D"/>
    <w:rsid w:val="00E25A34"/>
    <w:rsid w:val="00E25F23"/>
    <w:rsid w:val="00E26581"/>
    <w:rsid w:val="00E26975"/>
    <w:rsid w:val="00E27492"/>
    <w:rsid w:val="00E27530"/>
    <w:rsid w:val="00E312CE"/>
    <w:rsid w:val="00E317A9"/>
    <w:rsid w:val="00E317DC"/>
    <w:rsid w:val="00E31AC1"/>
    <w:rsid w:val="00E31C7D"/>
    <w:rsid w:val="00E3327E"/>
    <w:rsid w:val="00E335C7"/>
    <w:rsid w:val="00E336E5"/>
    <w:rsid w:val="00E33859"/>
    <w:rsid w:val="00E34436"/>
    <w:rsid w:val="00E34DF3"/>
    <w:rsid w:val="00E34F70"/>
    <w:rsid w:val="00E3586B"/>
    <w:rsid w:val="00E3597C"/>
    <w:rsid w:val="00E36C17"/>
    <w:rsid w:val="00E40CC3"/>
    <w:rsid w:val="00E41239"/>
    <w:rsid w:val="00E42EBB"/>
    <w:rsid w:val="00E45BC8"/>
    <w:rsid w:val="00E46899"/>
    <w:rsid w:val="00E46D92"/>
    <w:rsid w:val="00E50B03"/>
    <w:rsid w:val="00E51A6F"/>
    <w:rsid w:val="00E51A99"/>
    <w:rsid w:val="00E52E1D"/>
    <w:rsid w:val="00E52FCD"/>
    <w:rsid w:val="00E535F0"/>
    <w:rsid w:val="00E5405B"/>
    <w:rsid w:val="00E5439F"/>
    <w:rsid w:val="00E5511D"/>
    <w:rsid w:val="00E565DF"/>
    <w:rsid w:val="00E56FFE"/>
    <w:rsid w:val="00E57D7D"/>
    <w:rsid w:val="00E57F66"/>
    <w:rsid w:val="00E61BBE"/>
    <w:rsid w:val="00E620D0"/>
    <w:rsid w:val="00E62C7F"/>
    <w:rsid w:val="00E63133"/>
    <w:rsid w:val="00E6361D"/>
    <w:rsid w:val="00E63AAB"/>
    <w:rsid w:val="00E645D6"/>
    <w:rsid w:val="00E648B2"/>
    <w:rsid w:val="00E65612"/>
    <w:rsid w:val="00E66067"/>
    <w:rsid w:val="00E6613F"/>
    <w:rsid w:val="00E71852"/>
    <w:rsid w:val="00E71B5D"/>
    <w:rsid w:val="00E71C98"/>
    <w:rsid w:val="00E72358"/>
    <w:rsid w:val="00E72625"/>
    <w:rsid w:val="00E727A4"/>
    <w:rsid w:val="00E7359E"/>
    <w:rsid w:val="00E749E1"/>
    <w:rsid w:val="00E7507A"/>
    <w:rsid w:val="00E75373"/>
    <w:rsid w:val="00E75723"/>
    <w:rsid w:val="00E7574B"/>
    <w:rsid w:val="00E766C6"/>
    <w:rsid w:val="00E76960"/>
    <w:rsid w:val="00E77183"/>
    <w:rsid w:val="00E81793"/>
    <w:rsid w:val="00E81A39"/>
    <w:rsid w:val="00E81DED"/>
    <w:rsid w:val="00E829B5"/>
    <w:rsid w:val="00E82C0C"/>
    <w:rsid w:val="00E836BB"/>
    <w:rsid w:val="00E84827"/>
    <w:rsid w:val="00E84C7A"/>
    <w:rsid w:val="00E85C04"/>
    <w:rsid w:val="00E86156"/>
    <w:rsid w:val="00E8650D"/>
    <w:rsid w:val="00E865A6"/>
    <w:rsid w:val="00E876D0"/>
    <w:rsid w:val="00E9014A"/>
    <w:rsid w:val="00E90C20"/>
    <w:rsid w:val="00E90DC6"/>
    <w:rsid w:val="00E913DE"/>
    <w:rsid w:val="00E91455"/>
    <w:rsid w:val="00E91FC3"/>
    <w:rsid w:val="00E92472"/>
    <w:rsid w:val="00E92584"/>
    <w:rsid w:val="00E92B40"/>
    <w:rsid w:val="00E93BE6"/>
    <w:rsid w:val="00E94063"/>
    <w:rsid w:val="00E9426B"/>
    <w:rsid w:val="00E95ED4"/>
    <w:rsid w:val="00E95F19"/>
    <w:rsid w:val="00E95F29"/>
    <w:rsid w:val="00E96516"/>
    <w:rsid w:val="00E971E0"/>
    <w:rsid w:val="00E97548"/>
    <w:rsid w:val="00E976EC"/>
    <w:rsid w:val="00EA127E"/>
    <w:rsid w:val="00EA14CC"/>
    <w:rsid w:val="00EA19CE"/>
    <w:rsid w:val="00EA27E4"/>
    <w:rsid w:val="00EA28C2"/>
    <w:rsid w:val="00EA31F4"/>
    <w:rsid w:val="00EA3424"/>
    <w:rsid w:val="00EA3A23"/>
    <w:rsid w:val="00EA3BD4"/>
    <w:rsid w:val="00EA3F3E"/>
    <w:rsid w:val="00EA52D5"/>
    <w:rsid w:val="00EA566A"/>
    <w:rsid w:val="00EA5689"/>
    <w:rsid w:val="00EA69C2"/>
    <w:rsid w:val="00EA7D06"/>
    <w:rsid w:val="00EA7FE9"/>
    <w:rsid w:val="00EB0957"/>
    <w:rsid w:val="00EB1699"/>
    <w:rsid w:val="00EB1B6F"/>
    <w:rsid w:val="00EB1EC8"/>
    <w:rsid w:val="00EB2091"/>
    <w:rsid w:val="00EB2121"/>
    <w:rsid w:val="00EB2563"/>
    <w:rsid w:val="00EB2B16"/>
    <w:rsid w:val="00EB2EA2"/>
    <w:rsid w:val="00EB378B"/>
    <w:rsid w:val="00EB4268"/>
    <w:rsid w:val="00EB4281"/>
    <w:rsid w:val="00EB49EF"/>
    <w:rsid w:val="00EB4A41"/>
    <w:rsid w:val="00EB4D46"/>
    <w:rsid w:val="00EB705B"/>
    <w:rsid w:val="00EB7CF9"/>
    <w:rsid w:val="00EC0050"/>
    <w:rsid w:val="00EC01FB"/>
    <w:rsid w:val="00EC0244"/>
    <w:rsid w:val="00EC0912"/>
    <w:rsid w:val="00EC10DF"/>
    <w:rsid w:val="00EC136A"/>
    <w:rsid w:val="00EC1D66"/>
    <w:rsid w:val="00EC1DE0"/>
    <w:rsid w:val="00EC1F41"/>
    <w:rsid w:val="00EC23E6"/>
    <w:rsid w:val="00EC2482"/>
    <w:rsid w:val="00EC2E59"/>
    <w:rsid w:val="00EC3208"/>
    <w:rsid w:val="00EC3AB2"/>
    <w:rsid w:val="00EC3E35"/>
    <w:rsid w:val="00EC43E6"/>
    <w:rsid w:val="00EC46FD"/>
    <w:rsid w:val="00EC4ACD"/>
    <w:rsid w:val="00EC5458"/>
    <w:rsid w:val="00EC59D5"/>
    <w:rsid w:val="00EC6247"/>
    <w:rsid w:val="00EC7043"/>
    <w:rsid w:val="00EC7245"/>
    <w:rsid w:val="00EC76BA"/>
    <w:rsid w:val="00EC76D8"/>
    <w:rsid w:val="00EC78FF"/>
    <w:rsid w:val="00EC79FC"/>
    <w:rsid w:val="00ED0012"/>
    <w:rsid w:val="00ED01B2"/>
    <w:rsid w:val="00ED16D5"/>
    <w:rsid w:val="00ED3326"/>
    <w:rsid w:val="00ED3698"/>
    <w:rsid w:val="00ED3B63"/>
    <w:rsid w:val="00ED3D44"/>
    <w:rsid w:val="00ED4079"/>
    <w:rsid w:val="00ED413E"/>
    <w:rsid w:val="00ED4F8C"/>
    <w:rsid w:val="00ED5419"/>
    <w:rsid w:val="00ED5DAE"/>
    <w:rsid w:val="00ED6984"/>
    <w:rsid w:val="00ED707A"/>
    <w:rsid w:val="00ED74A9"/>
    <w:rsid w:val="00ED7781"/>
    <w:rsid w:val="00ED793D"/>
    <w:rsid w:val="00EE076A"/>
    <w:rsid w:val="00EE18F8"/>
    <w:rsid w:val="00EE1ABB"/>
    <w:rsid w:val="00EE2A35"/>
    <w:rsid w:val="00EE2F22"/>
    <w:rsid w:val="00EE2F27"/>
    <w:rsid w:val="00EE2F6B"/>
    <w:rsid w:val="00EE326A"/>
    <w:rsid w:val="00EE3515"/>
    <w:rsid w:val="00EE373B"/>
    <w:rsid w:val="00EE3A5B"/>
    <w:rsid w:val="00EE3A6D"/>
    <w:rsid w:val="00EE3F66"/>
    <w:rsid w:val="00EE4099"/>
    <w:rsid w:val="00EE55DE"/>
    <w:rsid w:val="00EE5932"/>
    <w:rsid w:val="00EE5BAE"/>
    <w:rsid w:val="00EE762B"/>
    <w:rsid w:val="00EE78A7"/>
    <w:rsid w:val="00EE7A38"/>
    <w:rsid w:val="00EE7C64"/>
    <w:rsid w:val="00EE7F76"/>
    <w:rsid w:val="00EF0943"/>
    <w:rsid w:val="00EF25EF"/>
    <w:rsid w:val="00EF3304"/>
    <w:rsid w:val="00EF4394"/>
    <w:rsid w:val="00EF4C5E"/>
    <w:rsid w:val="00EF4DE7"/>
    <w:rsid w:val="00EF4E32"/>
    <w:rsid w:val="00EF5005"/>
    <w:rsid w:val="00EF5B79"/>
    <w:rsid w:val="00F001A2"/>
    <w:rsid w:val="00F01EF3"/>
    <w:rsid w:val="00F01FE4"/>
    <w:rsid w:val="00F0288A"/>
    <w:rsid w:val="00F02E68"/>
    <w:rsid w:val="00F03736"/>
    <w:rsid w:val="00F03A23"/>
    <w:rsid w:val="00F051DC"/>
    <w:rsid w:val="00F05418"/>
    <w:rsid w:val="00F054A0"/>
    <w:rsid w:val="00F0552C"/>
    <w:rsid w:val="00F0582D"/>
    <w:rsid w:val="00F06C3C"/>
    <w:rsid w:val="00F072DF"/>
    <w:rsid w:val="00F07BFF"/>
    <w:rsid w:val="00F07DD1"/>
    <w:rsid w:val="00F100EF"/>
    <w:rsid w:val="00F10197"/>
    <w:rsid w:val="00F104DC"/>
    <w:rsid w:val="00F108ED"/>
    <w:rsid w:val="00F10A95"/>
    <w:rsid w:val="00F11550"/>
    <w:rsid w:val="00F1206B"/>
    <w:rsid w:val="00F12A85"/>
    <w:rsid w:val="00F13962"/>
    <w:rsid w:val="00F143A0"/>
    <w:rsid w:val="00F149B7"/>
    <w:rsid w:val="00F1573E"/>
    <w:rsid w:val="00F15E49"/>
    <w:rsid w:val="00F1793E"/>
    <w:rsid w:val="00F20EE9"/>
    <w:rsid w:val="00F212CC"/>
    <w:rsid w:val="00F21660"/>
    <w:rsid w:val="00F21745"/>
    <w:rsid w:val="00F21B68"/>
    <w:rsid w:val="00F21EBD"/>
    <w:rsid w:val="00F22B30"/>
    <w:rsid w:val="00F22D1E"/>
    <w:rsid w:val="00F23F3B"/>
    <w:rsid w:val="00F24BFD"/>
    <w:rsid w:val="00F26407"/>
    <w:rsid w:val="00F279D6"/>
    <w:rsid w:val="00F27A63"/>
    <w:rsid w:val="00F306EC"/>
    <w:rsid w:val="00F30770"/>
    <w:rsid w:val="00F30822"/>
    <w:rsid w:val="00F30B24"/>
    <w:rsid w:val="00F32ECD"/>
    <w:rsid w:val="00F33341"/>
    <w:rsid w:val="00F33B9A"/>
    <w:rsid w:val="00F33C40"/>
    <w:rsid w:val="00F346C4"/>
    <w:rsid w:val="00F355C0"/>
    <w:rsid w:val="00F36A53"/>
    <w:rsid w:val="00F36B59"/>
    <w:rsid w:val="00F37DE0"/>
    <w:rsid w:val="00F37DF8"/>
    <w:rsid w:val="00F37E0C"/>
    <w:rsid w:val="00F37F4F"/>
    <w:rsid w:val="00F42066"/>
    <w:rsid w:val="00F425E6"/>
    <w:rsid w:val="00F4274C"/>
    <w:rsid w:val="00F436BA"/>
    <w:rsid w:val="00F43990"/>
    <w:rsid w:val="00F453A0"/>
    <w:rsid w:val="00F46137"/>
    <w:rsid w:val="00F46245"/>
    <w:rsid w:val="00F46274"/>
    <w:rsid w:val="00F46AA2"/>
    <w:rsid w:val="00F470BA"/>
    <w:rsid w:val="00F471F2"/>
    <w:rsid w:val="00F5055A"/>
    <w:rsid w:val="00F51B4B"/>
    <w:rsid w:val="00F51E8D"/>
    <w:rsid w:val="00F52009"/>
    <w:rsid w:val="00F5262E"/>
    <w:rsid w:val="00F52762"/>
    <w:rsid w:val="00F52A88"/>
    <w:rsid w:val="00F52CBA"/>
    <w:rsid w:val="00F52F1A"/>
    <w:rsid w:val="00F531D6"/>
    <w:rsid w:val="00F53C28"/>
    <w:rsid w:val="00F53F13"/>
    <w:rsid w:val="00F54009"/>
    <w:rsid w:val="00F56896"/>
    <w:rsid w:val="00F57634"/>
    <w:rsid w:val="00F576CF"/>
    <w:rsid w:val="00F57811"/>
    <w:rsid w:val="00F60136"/>
    <w:rsid w:val="00F6029B"/>
    <w:rsid w:val="00F60668"/>
    <w:rsid w:val="00F60AF9"/>
    <w:rsid w:val="00F63262"/>
    <w:rsid w:val="00F63E70"/>
    <w:rsid w:val="00F64671"/>
    <w:rsid w:val="00F65986"/>
    <w:rsid w:val="00F709A1"/>
    <w:rsid w:val="00F70E3A"/>
    <w:rsid w:val="00F70EC7"/>
    <w:rsid w:val="00F70EF9"/>
    <w:rsid w:val="00F71984"/>
    <w:rsid w:val="00F72420"/>
    <w:rsid w:val="00F728B2"/>
    <w:rsid w:val="00F7290D"/>
    <w:rsid w:val="00F72A2F"/>
    <w:rsid w:val="00F7396F"/>
    <w:rsid w:val="00F73AD2"/>
    <w:rsid w:val="00F73D62"/>
    <w:rsid w:val="00F74DB8"/>
    <w:rsid w:val="00F7528F"/>
    <w:rsid w:val="00F76842"/>
    <w:rsid w:val="00F76CF1"/>
    <w:rsid w:val="00F76F58"/>
    <w:rsid w:val="00F773AC"/>
    <w:rsid w:val="00F778F7"/>
    <w:rsid w:val="00F77980"/>
    <w:rsid w:val="00F8034D"/>
    <w:rsid w:val="00F80642"/>
    <w:rsid w:val="00F806E9"/>
    <w:rsid w:val="00F80B65"/>
    <w:rsid w:val="00F8119A"/>
    <w:rsid w:val="00F81629"/>
    <w:rsid w:val="00F81B2C"/>
    <w:rsid w:val="00F81C60"/>
    <w:rsid w:val="00F83676"/>
    <w:rsid w:val="00F8388B"/>
    <w:rsid w:val="00F86CD0"/>
    <w:rsid w:val="00F87549"/>
    <w:rsid w:val="00F9068F"/>
    <w:rsid w:val="00F91202"/>
    <w:rsid w:val="00F91C53"/>
    <w:rsid w:val="00F91E07"/>
    <w:rsid w:val="00F93A89"/>
    <w:rsid w:val="00F95FC6"/>
    <w:rsid w:val="00F97475"/>
    <w:rsid w:val="00F97566"/>
    <w:rsid w:val="00FA065D"/>
    <w:rsid w:val="00FA0C2A"/>
    <w:rsid w:val="00FA0D3A"/>
    <w:rsid w:val="00FA0DD5"/>
    <w:rsid w:val="00FA0FF1"/>
    <w:rsid w:val="00FA1417"/>
    <w:rsid w:val="00FA157C"/>
    <w:rsid w:val="00FA19A6"/>
    <w:rsid w:val="00FA2665"/>
    <w:rsid w:val="00FA26DD"/>
    <w:rsid w:val="00FA2A33"/>
    <w:rsid w:val="00FA3045"/>
    <w:rsid w:val="00FA40BF"/>
    <w:rsid w:val="00FA455A"/>
    <w:rsid w:val="00FA4BBE"/>
    <w:rsid w:val="00FA542A"/>
    <w:rsid w:val="00FA5A97"/>
    <w:rsid w:val="00FA7DBE"/>
    <w:rsid w:val="00FB0012"/>
    <w:rsid w:val="00FB03A7"/>
    <w:rsid w:val="00FB0D8A"/>
    <w:rsid w:val="00FB18FB"/>
    <w:rsid w:val="00FB1C4C"/>
    <w:rsid w:val="00FB1D1D"/>
    <w:rsid w:val="00FB202E"/>
    <w:rsid w:val="00FB2243"/>
    <w:rsid w:val="00FB2A3F"/>
    <w:rsid w:val="00FB2AA2"/>
    <w:rsid w:val="00FB2E16"/>
    <w:rsid w:val="00FB3548"/>
    <w:rsid w:val="00FB386E"/>
    <w:rsid w:val="00FB45F3"/>
    <w:rsid w:val="00FB4BDF"/>
    <w:rsid w:val="00FB50E3"/>
    <w:rsid w:val="00FB60FF"/>
    <w:rsid w:val="00FB7840"/>
    <w:rsid w:val="00FB7CF0"/>
    <w:rsid w:val="00FC01BD"/>
    <w:rsid w:val="00FC0A09"/>
    <w:rsid w:val="00FC0DA9"/>
    <w:rsid w:val="00FC1203"/>
    <w:rsid w:val="00FC1582"/>
    <w:rsid w:val="00FC1D30"/>
    <w:rsid w:val="00FC403B"/>
    <w:rsid w:val="00FC4281"/>
    <w:rsid w:val="00FC4B9A"/>
    <w:rsid w:val="00FC52F8"/>
    <w:rsid w:val="00FC575F"/>
    <w:rsid w:val="00FC5F16"/>
    <w:rsid w:val="00FC6500"/>
    <w:rsid w:val="00FC6A0F"/>
    <w:rsid w:val="00FC6A45"/>
    <w:rsid w:val="00FC6AE0"/>
    <w:rsid w:val="00FC705A"/>
    <w:rsid w:val="00FC71D7"/>
    <w:rsid w:val="00FC7FF9"/>
    <w:rsid w:val="00FD09B9"/>
    <w:rsid w:val="00FD0B89"/>
    <w:rsid w:val="00FD1E7C"/>
    <w:rsid w:val="00FD26F9"/>
    <w:rsid w:val="00FD31DE"/>
    <w:rsid w:val="00FD33F5"/>
    <w:rsid w:val="00FD34E6"/>
    <w:rsid w:val="00FD404A"/>
    <w:rsid w:val="00FD4E8D"/>
    <w:rsid w:val="00FD58F2"/>
    <w:rsid w:val="00FD58FA"/>
    <w:rsid w:val="00FD70E5"/>
    <w:rsid w:val="00FD73DE"/>
    <w:rsid w:val="00FD7B0F"/>
    <w:rsid w:val="00FE09D9"/>
    <w:rsid w:val="00FE12F7"/>
    <w:rsid w:val="00FE1670"/>
    <w:rsid w:val="00FE16CC"/>
    <w:rsid w:val="00FE2B2A"/>
    <w:rsid w:val="00FE4A4B"/>
    <w:rsid w:val="00FE4BB5"/>
    <w:rsid w:val="00FE4F12"/>
    <w:rsid w:val="00FE6A72"/>
    <w:rsid w:val="00FE784B"/>
    <w:rsid w:val="00FE7C95"/>
    <w:rsid w:val="00FF08EE"/>
    <w:rsid w:val="00FF2F9A"/>
    <w:rsid w:val="00FF3896"/>
    <w:rsid w:val="00FF3BE4"/>
    <w:rsid w:val="00FF48B5"/>
    <w:rsid w:val="00FF568E"/>
    <w:rsid w:val="00FF5C81"/>
    <w:rsid w:val="00FF657D"/>
    <w:rsid w:val="00FF7727"/>
    <w:rsid w:val="00FF7865"/>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9D5D46"/>
  <w15:docId w15:val="{67BAA561-DB78-45DC-A60A-1E8B0654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8ED"/>
  </w:style>
  <w:style w:type="paragraph" w:styleId="Heading1">
    <w:name w:val="heading 1"/>
    <w:basedOn w:val="Normal"/>
    <w:next w:val="Normal"/>
    <w:link w:val="Heading1Char"/>
    <w:uiPriority w:val="9"/>
    <w:qFormat/>
    <w:rsid w:val="007712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12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12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1286"/>
    <w:pPr>
      <w:keepNext/>
      <w:keepLines/>
      <w:spacing w:before="200" w:line="274" w:lineRule="auto"/>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71286"/>
    <w:pPr>
      <w:keepNext/>
      <w:keepLines/>
      <w:spacing w:before="200" w:line="27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771286"/>
    <w:pPr>
      <w:keepNext/>
      <w:keepLines/>
      <w:spacing w:before="200" w:line="274" w:lineRule="auto"/>
      <w:outlineLvl w:val="5"/>
    </w:pPr>
    <w:rPr>
      <w:rFonts w:asciiTheme="majorHAnsi" w:eastAsiaTheme="majorEastAsia" w:hAnsiTheme="majorHAnsi" w:cstheme="majorBidi"/>
      <w:iCs/>
      <w:color w:val="4F81BD" w:themeColor="accent1"/>
    </w:rPr>
  </w:style>
  <w:style w:type="paragraph" w:styleId="Heading7">
    <w:name w:val="heading 7"/>
    <w:basedOn w:val="Normal"/>
    <w:next w:val="Normal"/>
    <w:link w:val="Heading7Char"/>
    <w:uiPriority w:val="9"/>
    <w:semiHidden/>
    <w:unhideWhenUsed/>
    <w:qFormat/>
    <w:rsid w:val="00771286"/>
    <w:pPr>
      <w:keepNext/>
      <w:keepLines/>
      <w:spacing w:before="200" w:line="274" w:lineRule="auto"/>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771286"/>
    <w:pPr>
      <w:keepNext/>
      <w:keepLines/>
      <w:spacing w:before="200" w:line="27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71286"/>
    <w:pPr>
      <w:keepNext/>
      <w:keepLines/>
      <w:spacing w:before="200" w:line="27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2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128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128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52ABF"/>
    <w:pPr>
      <w:tabs>
        <w:tab w:val="center" w:pos="4680"/>
        <w:tab w:val="right" w:pos="9360"/>
      </w:tabs>
    </w:pPr>
  </w:style>
  <w:style w:type="character" w:customStyle="1" w:styleId="HeaderChar">
    <w:name w:val="Header Char"/>
    <w:basedOn w:val="DefaultParagraphFont"/>
    <w:link w:val="Header"/>
    <w:uiPriority w:val="99"/>
    <w:rsid w:val="00B52ABF"/>
  </w:style>
  <w:style w:type="paragraph" w:styleId="Footer">
    <w:name w:val="footer"/>
    <w:basedOn w:val="Normal"/>
    <w:link w:val="FooterChar"/>
    <w:uiPriority w:val="99"/>
    <w:unhideWhenUsed/>
    <w:rsid w:val="00B52ABF"/>
    <w:pPr>
      <w:tabs>
        <w:tab w:val="center" w:pos="4680"/>
        <w:tab w:val="right" w:pos="9360"/>
      </w:tabs>
    </w:pPr>
  </w:style>
  <w:style w:type="character" w:customStyle="1" w:styleId="FooterChar">
    <w:name w:val="Footer Char"/>
    <w:basedOn w:val="DefaultParagraphFont"/>
    <w:link w:val="Footer"/>
    <w:uiPriority w:val="99"/>
    <w:rsid w:val="00B52ABF"/>
  </w:style>
  <w:style w:type="character" w:styleId="Hyperlink">
    <w:name w:val="Hyperlink"/>
    <w:uiPriority w:val="99"/>
    <w:unhideWhenUsed/>
    <w:rsid w:val="00B52ABF"/>
    <w:rPr>
      <w:color w:val="0000FF"/>
      <w:u w:val="single"/>
    </w:rPr>
  </w:style>
  <w:style w:type="paragraph" w:styleId="BalloonText">
    <w:name w:val="Balloon Text"/>
    <w:basedOn w:val="Normal"/>
    <w:link w:val="BalloonTextChar"/>
    <w:uiPriority w:val="99"/>
    <w:semiHidden/>
    <w:unhideWhenUsed/>
    <w:rsid w:val="00DE208E"/>
    <w:rPr>
      <w:rFonts w:ascii="Tahoma" w:hAnsi="Tahoma"/>
      <w:sz w:val="16"/>
      <w:szCs w:val="16"/>
    </w:rPr>
  </w:style>
  <w:style w:type="character" w:customStyle="1" w:styleId="BalloonTextChar">
    <w:name w:val="Balloon Text Char"/>
    <w:link w:val="BalloonText"/>
    <w:uiPriority w:val="99"/>
    <w:semiHidden/>
    <w:rsid w:val="00DE208E"/>
    <w:rPr>
      <w:rFonts w:ascii="Tahoma" w:hAnsi="Tahoma" w:cs="Tahoma"/>
      <w:sz w:val="16"/>
      <w:szCs w:val="16"/>
    </w:rPr>
  </w:style>
  <w:style w:type="paragraph" w:customStyle="1" w:styleId="TOCPAR">
    <w:name w:val="TOC PAR"/>
    <w:basedOn w:val="Normal"/>
    <w:next w:val="Normal"/>
    <w:rsid w:val="005171A9"/>
    <w:pPr>
      <w:tabs>
        <w:tab w:val="left" w:leader="dot" w:pos="5738"/>
      </w:tabs>
      <w:autoSpaceDE w:val="0"/>
      <w:autoSpaceDN w:val="0"/>
      <w:adjustRightInd w:val="0"/>
    </w:pPr>
  </w:style>
  <w:style w:type="paragraph" w:customStyle="1" w:styleId="ColumnHeadbreak">
    <w:name w:val="Column Head (break)"/>
    <w:basedOn w:val="Normal"/>
    <w:next w:val="Normal"/>
    <w:rsid w:val="005171A9"/>
    <w:pPr>
      <w:pageBreakBefore/>
      <w:autoSpaceDE w:val="0"/>
      <w:autoSpaceDN w:val="0"/>
      <w:adjustRightInd w:val="0"/>
      <w:jc w:val="center"/>
    </w:pPr>
    <w:rPr>
      <w:b/>
      <w:sz w:val="26"/>
      <w:szCs w:val="26"/>
    </w:rPr>
  </w:style>
  <w:style w:type="paragraph" w:customStyle="1" w:styleId="Normalsmall">
    <w:name w:val="Normal small"/>
    <w:basedOn w:val="Normal"/>
    <w:next w:val="Normal"/>
    <w:rsid w:val="001C4164"/>
    <w:pPr>
      <w:autoSpaceDE w:val="0"/>
      <w:autoSpaceDN w:val="0"/>
      <w:adjustRightInd w:val="0"/>
    </w:pPr>
    <w:rPr>
      <w:sz w:val="16"/>
      <w:szCs w:val="16"/>
    </w:rPr>
  </w:style>
  <w:style w:type="paragraph" w:customStyle="1" w:styleId="figurecenter">
    <w:name w:val="figure center"/>
    <w:rsid w:val="00BD409A"/>
    <w:pPr>
      <w:autoSpaceDE w:val="0"/>
      <w:autoSpaceDN w:val="0"/>
      <w:adjustRightInd w:val="0"/>
      <w:jc w:val="center"/>
    </w:pPr>
    <w:rPr>
      <w:sz w:val="12"/>
      <w:szCs w:val="12"/>
    </w:rPr>
  </w:style>
  <w:style w:type="paragraph" w:customStyle="1" w:styleId="Normalwithoutfirstline">
    <w:name w:val="Normal without first line"/>
    <w:basedOn w:val="Normal"/>
    <w:rsid w:val="00B269E3"/>
    <w:pPr>
      <w:autoSpaceDE w:val="0"/>
      <w:autoSpaceDN w:val="0"/>
      <w:adjustRightInd w:val="0"/>
    </w:pPr>
  </w:style>
  <w:style w:type="paragraph" w:styleId="TOCHeading">
    <w:name w:val="TOC Heading"/>
    <w:basedOn w:val="Heading1"/>
    <w:next w:val="Normal"/>
    <w:uiPriority w:val="39"/>
    <w:unhideWhenUsed/>
    <w:qFormat/>
    <w:rsid w:val="00771286"/>
    <w:pPr>
      <w:outlineLvl w:val="9"/>
    </w:pPr>
    <w:rPr>
      <w:lang w:eastAsia="ja-JP"/>
    </w:rPr>
  </w:style>
  <w:style w:type="paragraph" w:styleId="TOC1">
    <w:name w:val="toc 1"/>
    <w:basedOn w:val="Normal"/>
    <w:next w:val="Normal"/>
    <w:autoRedefine/>
    <w:uiPriority w:val="39"/>
    <w:unhideWhenUsed/>
    <w:rsid w:val="009C23E6"/>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5E12D1"/>
    <w:pPr>
      <w:spacing w:before="240"/>
    </w:pPr>
    <w:rPr>
      <w:b/>
      <w:bCs/>
      <w:sz w:val="20"/>
      <w:szCs w:val="20"/>
    </w:rPr>
  </w:style>
  <w:style w:type="paragraph" w:styleId="TOC3">
    <w:name w:val="toc 3"/>
    <w:basedOn w:val="Normal"/>
    <w:next w:val="Normal"/>
    <w:autoRedefine/>
    <w:uiPriority w:val="39"/>
    <w:unhideWhenUsed/>
    <w:rsid w:val="009C23E6"/>
    <w:pPr>
      <w:ind w:left="220"/>
    </w:pPr>
    <w:rPr>
      <w:sz w:val="20"/>
      <w:szCs w:val="20"/>
    </w:rPr>
  </w:style>
  <w:style w:type="paragraph" w:styleId="TOC4">
    <w:name w:val="toc 4"/>
    <w:basedOn w:val="Normal"/>
    <w:next w:val="Normal"/>
    <w:autoRedefine/>
    <w:uiPriority w:val="39"/>
    <w:unhideWhenUsed/>
    <w:rsid w:val="0037266C"/>
    <w:pPr>
      <w:ind w:left="440"/>
    </w:pPr>
    <w:rPr>
      <w:sz w:val="20"/>
      <w:szCs w:val="20"/>
    </w:rPr>
  </w:style>
  <w:style w:type="paragraph" w:styleId="TOC5">
    <w:name w:val="toc 5"/>
    <w:basedOn w:val="Normal"/>
    <w:next w:val="Normal"/>
    <w:autoRedefine/>
    <w:uiPriority w:val="39"/>
    <w:unhideWhenUsed/>
    <w:rsid w:val="0037266C"/>
    <w:pPr>
      <w:ind w:left="660"/>
    </w:pPr>
    <w:rPr>
      <w:sz w:val="20"/>
      <w:szCs w:val="20"/>
    </w:rPr>
  </w:style>
  <w:style w:type="paragraph" w:styleId="TOC6">
    <w:name w:val="toc 6"/>
    <w:basedOn w:val="Normal"/>
    <w:next w:val="Normal"/>
    <w:autoRedefine/>
    <w:uiPriority w:val="39"/>
    <w:unhideWhenUsed/>
    <w:rsid w:val="0037266C"/>
    <w:pPr>
      <w:ind w:left="880"/>
    </w:pPr>
    <w:rPr>
      <w:sz w:val="20"/>
      <w:szCs w:val="20"/>
    </w:rPr>
  </w:style>
  <w:style w:type="paragraph" w:styleId="TOC7">
    <w:name w:val="toc 7"/>
    <w:basedOn w:val="Normal"/>
    <w:next w:val="Normal"/>
    <w:autoRedefine/>
    <w:uiPriority w:val="39"/>
    <w:unhideWhenUsed/>
    <w:rsid w:val="0037266C"/>
    <w:pPr>
      <w:ind w:left="1100"/>
    </w:pPr>
    <w:rPr>
      <w:sz w:val="20"/>
      <w:szCs w:val="20"/>
    </w:rPr>
  </w:style>
  <w:style w:type="paragraph" w:styleId="TOC8">
    <w:name w:val="toc 8"/>
    <w:basedOn w:val="Normal"/>
    <w:next w:val="Normal"/>
    <w:autoRedefine/>
    <w:uiPriority w:val="39"/>
    <w:unhideWhenUsed/>
    <w:rsid w:val="0037266C"/>
    <w:pPr>
      <w:ind w:left="1320"/>
    </w:pPr>
    <w:rPr>
      <w:sz w:val="20"/>
      <w:szCs w:val="20"/>
    </w:rPr>
  </w:style>
  <w:style w:type="paragraph" w:styleId="TOC9">
    <w:name w:val="toc 9"/>
    <w:basedOn w:val="Normal"/>
    <w:next w:val="Normal"/>
    <w:autoRedefine/>
    <w:uiPriority w:val="39"/>
    <w:unhideWhenUsed/>
    <w:rsid w:val="0037266C"/>
    <w:pPr>
      <w:ind w:left="1540"/>
    </w:pPr>
    <w:rPr>
      <w:sz w:val="20"/>
      <w:szCs w:val="20"/>
    </w:rPr>
  </w:style>
  <w:style w:type="character" w:styleId="CommentReference">
    <w:name w:val="annotation reference"/>
    <w:uiPriority w:val="99"/>
    <w:semiHidden/>
    <w:unhideWhenUsed/>
    <w:rsid w:val="00B5156F"/>
    <w:rPr>
      <w:sz w:val="16"/>
      <w:szCs w:val="16"/>
    </w:rPr>
  </w:style>
  <w:style w:type="paragraph" w:styleId="CommentText">
    <w:name w:val="annotation text"/>
    <w:basedOn w:val="Normal"/>
    <w:link w:val="CommentTextChar"/>
    <w:uiPriority w:val="99"/>
    <w:semiHidden/>
    <w:unhideWhenUsed/>
    <w:rsid w:val="00B5156F"/>
    <w:rPr>
      <w:sz w:val="20"/>
      <w:szCs w:val="20"/>
    </w:rPr>
  </w:style>
  <w:style w:type="character" w:customStyle="1" w:styleId="CommentTextChar">
    <w:name w:val="Comment Text Char"/>
    <w:basedOn w:val="DefaultParagraphFont"/>
    <w:link w:val="CommentText"/>
    <w:uiPriority w:val="99"/>
    <w:semiHidden/>
    <w:rsid w:val="00B5156F"/>
  </w:style>
  <w:style w:type="paragraph" w:styleId="ListParagraph">
    <w:name w:val="List Paragraph"/>
    <w:basedOn w:val="Normal"/>
    <w:uiPriority w:val="34"/>
    <w:qFormat/>
    <w:rsid w:val="00771286"/>
    <w:pPr>
      <w:spacing w:after="180"/>
      <w:ind w:left="720" w:hanging="288"/>
      <w:contextualSpacing/>
    </w:pPr>
    <w:rPr>
      <w:color w:val="1F497D" w:themeColor="text2"/>
      <w:sz w:val="21"/>
    </w:rPr>
  </w:style>
  <w:style w:type="paragraph" w:styleId="NormalWeb">
    <w:name w:val="Normal (Web)"/>
    <w:basedOn w:val="Normal"/>
    <w:uiPriority w:val="99"/>
    <w:unhideWhenUsed/>
    <w:rsid w:val="0068253F"/>
    <w:pPr>
      <w:spacing w:before="100" w:beforeAutospacing="1" w:after="100" w:afterAutospacing="1"/>
    </w:pPr>
    <w:rPr>
      <w:rFonts w:eastAsia="Times New Roman"/>
      <w:sz w:val="24"/>
      <w:szCs w:val="24"/>
    </w:rPr>
  </w:style>
  <w:style w:type="paragraph" w:styleId="PlainText">
    <w:name w:val="Plain Text"/>
    <w:basedOn w:val="Normal"/>
    <w:link w:val="PlainTextChar"/>
    <w:uiPriority w:val="99"/>
    <w:semiHidden/>
    <w:unhideWhenUsed/>
    <w:rsid w:val="00A13CDE"/>
    <w:rPr>
      <w:rFonts w:ascii="Calibri" w:hAnsi="Calibri"/>
      <w:szCs w:val="21"/>
    </w:rPr>
  </w:style>
  <w:style w:type="character" w:customStyle="1" w:styleId="PlainTextChar">
    <w:name w:val="Plain Text Char"/>
    <w:link w:val="PlainText"/>
    <w:uiPriority w:val="99"/>
    <w:semiHidden/>
    <w:rsid w:val="00A13CDE"/>
    <w:rPr>
      <w:rFonts w:ascii="Calibri" w:eastAsia="Calibri" w:hAnsi="Calibri" w:cs="Times New Roman"/>
      <w:sz w:val="22"/>
      <w:szCs w:val="21"/>
    </w:rPr>
  </w:style>
  <w:style w:type="paragraph" w:customStyle="1" w:styleId="Default">
    <w:name w:val="Default"/>
    <w:rsid w:val="00D000C5"/>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1A3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771286"/>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71286"/>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71286"/>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71286"/>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71286"/>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71286"/>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771286"/>
    <w:pPr>
      <w:spacing w:after="120"/>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71286"/>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71286"/>
    <w:pPr>
      <w:numPr>
        <w:ilvl w:val="1"/>
      </w:numPr>
      <w:spacing w:after="180" w:line="274" w:lineRule="auto"/>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71286"/>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71286"/>
    <w:rPr>
      <w:b w:val="0"/>
      <w:bCs/>
      <w:i/>
      <w:color w:val="1F497D" w:themeColor="text2"/>
    </w:rPr>
  </w:style>
  <w:style w:type="character" w:styleId="Emphasis">
    <w:name w:val="Emphasis"/>
    <w:basedOn w:val="DefaultParagraphFont"/>
    <w:uiPriority w:val="20"/>
    <w:qFormat/>
    <w:rsid w:val="00771286"/>
    <w:rPr>
      <w:b/>
      <w:i/>
      <w:iCs/>
    </w:rPr>
  </w:style>
  <w:style w:type="paragraph" w:styleId="NoSpacing">
    <w:name w:val="No Spacing"/>
    <w:link w:val="NoSpacingChar"/>
    <w:uiPriority w:val="1"/>
    <w:qFormat/>
    <w:rsid w:val="00771286"/>
  </w:style>
  <w:style w:type="character" w:customStyle="1" w:styleId="NoSpacingChar">
    <w:name w:val="No Spacing Char"/>
    <w:basedOn w:val="DefaultParagraphFont"/>
    <w:link w:val="NoSpacing"/>
    <w:uiPriority w:val="1"/>
    <w:rsid w:val="00771286"/>
  </w:style>
  <w:style w:type="paragraph" w:styleId="Quote">
    <w:name w:val="Quote"/>
    <w:basedOn w:val="Normal"/>
    <w:next w:val="Normal"/>
    <w:link w:val="QuoteChar"/>
    <w:uiPriority w:val="29"/>
    <w:qFormat/>
    <w:rsid w:val="00771286"/>
    <w:pPr>
      <w:spacing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71286"/>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71286"/>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71286"/>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71286"/>
    <w:rPr>
      <w:i/>
      <w:iCs/>
      <w:color w:val="000000"/>
    </w:rPr>
  </w:style>
  <w:style w:type="character" w:styleId="IntenseEmphasis">
    <w:name w:val="Intense Emphasis"/>
    <w:basedOn w:val="DefaultParagraphFont"/>
    <w:uiPriority w:val="21"/>
    <w:qFormat/>
    <w:rsid w:val="00771286"/>
    <w:rPr>
      <w:b/>
      <w:bCs/>
      <w:i/>
      <w:iCs/>
      <w:color w:val="4F81BD" w:themeColor="accent1"/>
    </w:rPr>
  </w:style>
  <w:style w:type="character" w:styleId="SubtleReference">
    <w:name w:val="Subtle Reference"/>
    <w:basedOn w:val="DefaultParagraphFont"/>
    <w:uiPriority w:val="31"/>
    <w:qFormat/>
    <w:rsid w:val="00771286"/>
    <w:rPr>
      <w:smallCaps/>
      <w:color w:val="000000"/>
      <w:u w:val="single"/>
    </w:rPr>
  </w:style>
  <w:style w:type="character" w:styleId="IntenseReference">
    <w:name w:val="Intense Reference"/>
    <w:basedOn w:val="DefaultParagraphFont"/>
    <w:uiPriority w:val="32"/>
    <w:qFormat/>
    <w:rsid w:val="00771286"/>
    <w:rPr>
      <w:b w:val="0"/>
      <w:bCs/>
      <w:smallCaps/>
      <w:color w:val="4F81BD" w:themeColor="accent1"/>
      <w:spacing w:val="5"/>
      <w:u w:val="single"/>
    </w:rPr>
  </w:style>
  <w:style w:type="character" w:styleId="BookTitle">
    <w:name w:val="Book Title"/>
    <w:basedOn w:val="DefaultParagraphFont"/>
    <w:uiPriority w:val="33"/>
    <w:qFormat/>
    <w:rsid w:val="00771286"/>
    <w:rPr>
      <w:b/>
      <w:bCs/>
      <w:caps/>
      <w:smallCaps w:val="0"/>
      <w:color w:val="1F497D" w:themeColor="text2"/>
      <w:spacing w:val="10"/>
    </w:rPr>
  </w:style>
  <w:style w:type="paragraph" w:styleId="CommentSubject">
    <w:name w:val="annotation subject"/>
    <w:basedOn w:val="CommentText"/>
    <w:next w:val="CommentText"/>
    <w:link w:val="CommentSubjectChar"/>
    <w:uiPriority w:val="99"/>
    <w:semiHidden/>
    <w:unhideWhenUsed/>
    <w:rsid w:val="006A242C"/>
    <w:rPr>
      <w:b/>
      <w:bCs/>
    </w:rPr>
  </w:style>
  <w:style w:type="character" w:customStyle="1" w:styleId="CommentSubjectChar">
    <w:name w:val="Comment Subject Char"/>
    <w:basedOn w:val="CommentTextChar"/>
    <w:link w:val="CommentSubject"/>
    <w:uiPriority w:val="99"/>
    <w:semiHidden/>
    <w:rsid w:val="006A242C"/>
    <w:rPr>
      <w:b/>
      <w:bCs/>
      <w:sz w:val="20"/>
      <w:szCs w:val="20"/>
    </w:rPr>
  </w:style>
  <w:style w:type="paragraph" w:styleId="Revision">
    <w:name w:val="Revision"/>
    <w:hidden/>
    <w:uiPriority w:val="99"/>
    <w:semiHidden/>
    <w:rsid w:val="006306B4"/>
  </w:style>
  <w:style w:type="character" w:customStyle="1" w:styleId="apple-converted-space">
    <w:name w:val="apple-converted-space"/>
    <w:basedOn w:val="DefaultParagraphFont"/>
    <w:rsid w:val="00DA5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250">
      <w:bodyDiv w:val="1"/>
      <w:marLeft w:val="0"/>
      <w:marRight w:val="0"/>
      <w:marTop w:val="0"/>
      <w:marBottom w:val="0"/>
      <w:divBdr>
        <w:top w:val="none" w:sz="0" w:space="0" w:color="auto"/>
        <w:left w:val="none" w:sz="0" w:space="0" w:color="auto"/>
        <w:bottom w:val="none" w:sz="0" w:space="0" w:color="auto"/>
        <w:right w:val="none" w:sz="0" w:space="0" w:color="auto"/>
      </w:divBdr>
    </w:div>
    <w:div w:id="22092938">
      <w:bodyDiv w:val="1"/>
      <w:marLeft w:val="0"/>
      <w:marRight w:val="0"/>
      <w:marTop w:val="0"/>
      <w:marBottom w:val="0"/>
      <w:divBdr>
        <w:top w:val="none" w:sz="0" w:space="0" w:color="auto"/>
        <w:left w:val="none" w:sz="0" w:space="0" w:color="auto"/>
        <w:bottom w:val="none" w:sz="0" w:space="0" w:color="auto"/>
        <w:right w:val="none" w:sz="0" w:space="0" w:color="auto"/>
      </w:divBdr>
    </w:div>
    <w:div w:id="24792991">
      <w:bodyDiv w:val="1"/>
      <w:marLeft w:val="0"/>
      <w:marRight w:val="0"/>
      <w:marTop w:val="0"/>
      <w:marBottom w:val="0"/>
      <w:divBdr>
        <w:top w:val="none" w:sz="0" w:space="0" w:color="auto"/>
        <w:left w:val="none" w:sz="0" w:space="0" w:color="auto"/>
        <w:bottom w:val="none" w:sz="0" w:space="0" w:color="auto"/>
        <w:right w:val="none" w:sz="0" w:space="0" w:color="auto"/>
      </w:divBdr>
    </w:div>
    <w:div w:id="40518232">
      <w:bodyDiv w:val="1"/>
      <w:marLeft w:val="0"/>
      <w:marRight w:val="0"/>
      <w:marTop w:val="0"/>
      <w:marBottom w:val="0"/>
      <w:divBdr>
        <w:top w:val="none" w:sz="0" w:space="0" w:color="auto"/>
        <w:left w:val="none" w:sz="0" w:space="0" w:color="auto"/>
        <w:bottom w:val="none" w:sz="0" w:space="0" w:color="auto"/>
        <w:right w:val="none" w:sz="0" w:space="0" w:color="auto"/>
      </w:divBdr>
    </w:div>
    <w:div w:id="42488097">
      <w:bodyDiv w:val="1"/>
      <w:marLeft w:val="0"/>
      <w:marRight w:val="0"/>
      <w:marTop w:val="0"/>
      <w:marBottom w:val="0"/>
      <w:divBdr>
        <w:top w:val="none" w:sz="0" w:space="0" w:color="auto"/>
        <w:left w:val="none" w:sz="0" w:space="0" w:color="auto"/>
        <w:bottom w:val="none" w:sz="0" w:space="0" w:color="auto"/>
        <w:right w:val="none" w:sz="0" w:space="0" w:color="auto"/>
      </w:divBdr>
    </w:div>
    <w:div w:id="44718952">
      <w:bodyDiv w:val="1"/>
      <w:marLeft w:val="0"/>
      <w:marRight w:val="0"/>
      <w:marTop w:val="0"/>
      <w:marBottom w:val="0"/>
      <w:divBdr>
        <w:top w:val="none" w:sz="0" w:space="0" w:color="auto"/>
        <w:left w:val="none" w:sz="0" w:space="0" w:color="auto"/>
        <w:bottom w:val="none" w:sz="0" w:space="0" w:color="auto"/>
        <w:right w:val="none" w:sz="0" w:space="0" w:color="auto"/>
      </w:divBdr>
    </w:div>
    <w:div w:id="62988840">
      <w:bodyDiv w:val="1"/>
      <w:marLeft w:val="0"/>
      <w:marRight w:val="0"/>
      <w:marTop w:val="0"/>
      <w:marBottom w:val="0"/>
      <w:divBdr>
        <w:top w:val="none" w:sz="0" w:space="0" w:color="auto"/>
        <w:left w:val="none" w:sz="0" w:space="0" w:color="auto"/>
        <w:bottom w:val="none" w:sz="0" w:space="0" w:color="auto"/>
        <w:right w:val="none" w:sz="0" w:space="0" w:color="auto"/>
      </w:divBdr>
    </w:div>
    <w:div w:id="74864771">
      <w:bodyDiv w:val="1"/>
      <w:marLeft w:val="0"/>
      <w:marRight w:val="0"/>
      <w:marTop w:val="0"/>
      <w:marBottom w:val="0"/>
      <w:divBdr>
        <w:top w:val="none" w:sz="0" w:space="0" w:color="auto"/>
        <w:left w:val="none" w:sz="0" w:space="0" w:color="auto"/>
        <w:bottom w:val="none" w:sz="0" w:space="0" w:color="auto"/>
        <w:right w:val="none" w:sz="0" w:space="0" w:color="auto"/>
      </w:divBdr>
    </w:div>
    <w:div w:id="87192604">
      <w:bodyDiv w:val="1"/>
      <w:marLeft w:val="0"/>
      <w:marRight w:val="0"/>
      <w:marTop w:val="0"/>
      <w:marBottom w:val="0"/>
      <w:divBdr>
        <w:top w:val="none" w:sz="0" w:space="0" w:color="auto"/>
        <w:left w:val="none" w:sz="0" w:space="0" w:color="auto"/>
        <w:bottom w:val="none" w:sz="0" w:space="0" w:color="auto"/>
        <w:right w:val="none" w:sz="0" w:space="0" w:color="auto"/>
      </w:divBdr>
    </w:div>
    <w:div w:id="94523935">
      <w:bodyDiv w:val="1"/>
      <w:marLeft w:val="0"/>
      <w:marRight w:val="0"/>
      <w:marTop w:val="0"/>
      <w:marBottom w:val="0"/>
      <w:divBdr>
        <w:top w:val="none" w:sz="0" w:space="0" w:color="auto"/>
        <w:left w:val="none" w:sz="0" w:space="0" w:color="auto"/>
        <w:bottom w:val="none" w:sz="0" w:space="0" w:color="auto"/>
        <w:right w:val="none" w:sz="0" w:space="0" w:color="auto"/>
      </w:divBdr>
    </w:div>
    <w:div w:id="101338388">
      <w:bodyDiv w:val="1"/>
      <w:marLeft w:val="0"/>
      <w:marRight w:val="0"/>
      <w:marTop w:val="0"/>
      <w:marBottom w:val="0"/>
      <w:divBdr>
        <w:top w:val="none" w:sz="0" w:space="0" w:color="auto"/>
        <w:left w:val="none" w:sz="0" w:space="0" w:color="auto"/>
        <w:bottom w:val="none" w:sz="0" w:space="0" w:color="auto"/>
        <w:right w:val="none" w:sz="0" w:space="0" w:color="auto"/>
      </w:divBdr>
    </w:div>
    <w:div w:id="122160493">
      <w:bodyDiv w:val="1"/>
      <w:marLeft w:val="0"/>
      <w:marRight w:val="0"/>
      <w:marTop w:val="0"/>
      <w:marBottom w:val="0"/>
      <w:divBdr>
        <w:top w:val="none" w:sz="0" w:space="0" w:color="auto"/>
        <w:left w:val="none" w:sz="0" w:space="0" w:color="auto"/>
        <w:bottom w:val="none" w:sz="0" w:space="0" w:color="auto"/>
        <w:right w:val="none" w:sz="0" w:space="0" w:color="auto"/>
      </w:divBdr>
    </w:div>
    <w:div w:id="128210483">
      <w:bodyDiv w:val="1"/>
      <w:marLeft w:val="0"/>
      <w:marRight w:val="0"/>
      <w:marTop w:val="0"/>
      <w:marBottom w:val="0"/>
      <w:divBdr>
        <w:top w:val="none" w:sz="0" w:space="0" w:color="auto"/>
        <w:left w:val="none" w:sz="0" w:space="0" w:color="auto"/>
        <w:bottom w:val="none" w:sz="0" w:space="0" w:color="auto"/>
        <w:right w:val="none" w:sz="0" w:space="0" w:color="auto"/>
      </w:divBdr>
    </w:div>
    <w:div w:id="146089840">
      <w:bodyDiv w:val="1"/>
      <w:marLeft w:val="0"/>
      <w:marRight w:val="0"/>
      <w:marTop w:val="0"/>
      <w:marBottom w:val="0"/>
      <w:divBdr>
        <w:top w:val="none" w:sz="0" w:space="0" w:color="auto"/>
        <w:left w:val="none" w:sz="0" w:space="0" w:color="auto"/>
        <w:bottom w:val="none" w:sz="0" w:space="0" w:color="auto"/>
        <w:right w:val="none" w:sz="0" w:space="0" w:color="auto"/>
      </w:divBdr>
    </w:div>
    <w:div w:id="148987274">
      <w:bodyDiv w:val="1"/>
      <w:marLeft w:val="0"/>
      <w:marRight w:val="0"/>
      <w:marTop w:val="0"/>
      <w:marBottom w:val="0"/>
      <w:divBdr>
        <w:top w:val="none" w:sz="0" w:space="0" w:color="auto"/>
        <w:left w:val="none" w:sz="0" w:space="0" w:color="auto"/>
        <w:bottom w:val="none" w:sz="0" w:space="0" w:color="auto"/>
        <w:right w:val="none" w:sz="0" w:space="0" w:color="auto"/>
      </w:divBdr>
    </w:div>
    <w:div w:id="161094352">
      <w:bodyDiv w:val="1"/>
      <w:marLeft w:val="0"/>
      <w:marRight w:val="0"/>
      <w:marTop w:val="0"/>
      <w:marBottom w:val="0"/>
      <w:divBdr>
        <w:top w:val="none" w:sz="0" w:space="0" w:color="auto"/>
        <w:left w:val="none" w:sz="0" w:space="0" w:color="auto"/>
        <w:bottom w:val="none" w:sz="0" w:space="0" w:color="auto"/>
        <w:right w:val="none" w:sz="0" w:space="0" w:color="auto"/>
      </w:divBdr>
    </w:div>
    <w:div w:id="161431796">
      <w:bodyDiv w:val="1"/>
      <w:marLeft w:val="0"/>
      <w:marRight w:val="0"/>
      <w:marTop w:val="0"/>
      <w:marBottom w:val="0"/>
      <w:divBdr>
        <w:top w:val="none" w:sz="0" w:space="0" w:color="auto"/>
        <w:left w:val="none" w:sz="0" w:space="0" w:color="auto"/>
        <w:bottom w:val="none" w:sz="0" w:space="0" w:color="auto"/>
        <w:right w:val="none" w:sz="0" w:space="0" w:color="auto"/>
      </w:divBdr>
    </w:div>
    <w:div w:id="166872392">
      <w:bodyDiv w:val="1"/>
      <w:marLeft w:val="0"/>
      <w:marRight w:val="0"/>
      <w:marTop w:val="0"/>
      <w:marBottom w:val="0"/>
      <w:divBdr>
        <w:top w:val="none" w:sz="0" w:space="0" w:color="auto"/>
        <w:left w:val="none" w:sz="0" w:space="0" w:color="auto"/>
        <w:bottom w:val="none" w:sz="0" w:space="0" w:color="auto"/>
        <w:right w:val="none" w:sz="0" w:space="0" w:color="auto"/>
      </w:divBdr>
    </w:div>
    <w:div w:id="174157359">
      <w:bodyDiv w:val="1"/>
      <w:marLeft w:val="0"/>
      <w:marRight w:val="0"/>
      <w:marTop w:val="0"/>
      <w:marBottom w:val="0"/>
      <w:divBdr>
        <w:top w:val="none" w:sz="0" w:space="0" w:color="auto"/>
        <w:left w:val="none" w:sz="0" w:space="0" w:color="auto"/>
        <w:bottom w:val="none" w:sz="0" w:space="0" w:color="auto"/>
        <w:right w:val="none" w:sz="0" w:space="0" w:color="auto"/>
      </w:divBdr>
    </w:div>
    <w:div w:id="181406868">
      <w:bodyDiv w:val="1"/>
      <w:marLeft w:val="0"/>
      <w:marRight w:val="0"/>
      <w:marTop w:val="0"/>
      <w:marBottom w:val="0"/>
      <w:divBdr>
        <w:top w:val="none" w:sz="0" w:space="0" w:color="auto"/>
        <w:left w:val="none" w:sz="0" w:space="0" w:color="auto"/>
        <w:bottom w:val="none" w:sz="0" w:space="0" w:color="auto"/>
        <w:right w:val="none" w:sz="0" w:space="0" w:color="auto"/>
      </w:divBdr>
    </w:div>
    <w:div w:id="182014571">
      <w:bodyDiv w:val="1"/>
      <w:marLeft w:val="0"/>
      <w:marRight w:val="0"/>
      <w:marTop w:val="0"/>
      <w:marBottom w:val="0"/>
      <w:divBdr>
        <w:top w:val="none" w:sz="0" w:space="0" w:color="auto"/>
        <w:left w:val="none" w:sz="0" w:space="0" w:color="auto"/>
        <w:bottom w:val="none" w:sz="0" w:space="0" w:color="auto"/>
        <w:right w:val="none" w:sz="0" w:space="0" w:color="auto"/>
      </w:divBdr>
    </w:div>
    <w:div w:id="193465248">
      <w:bodyDiv w:val="1"/>
      <w:marLeft w:val="0"/>
      <w:marRight w:val="0"/>
      <w:marTop w:val="0"/>
      <w:marBottom w:val="0"/>
      <w:divBdr>
        <w:top w:val="none" w:sz="0" w:space="0" w:color="auto"/>
        <w:left w:val="none" w:sz="0" w:space="0" w:color="auto"/>
        <w:bottom w:val="none" w:sz="0" w:space="0" w:color="auto"/>
        <w:right w:val="none" w:sz="0" w:space="0" w:color="auto"/>
      </w:divBdr>
    </w:div>
    <w:div w:id="198713450">
      <w:bodyDiv w:val="1"/>
      <w:marLeft w:val="0"/>
      <w:marRight w:val="0"/>
      <w:marTop w:val="0"/>
      <w:marBottom w:val="0"/>
      <w:divBdr>
        <w:top w:val="none" w:sz="0" w:space="0" w:color="auto"/>
        <w:left w:val="none" w:sz="0" w:space="0" w:color="auto"/>
        <w:bottom w:val="none" w:sz="0" w:space="0" w:color="auto"/>
        <w:right w:val="none" w:sz="0" w:space="0" w:color="auto"/>
      </w:divBdr>
    </w:div>
    <w:div w:id="203907093">
      <w:bodyDiv w:val="1"/>
      <w:marLeft w:val="0"/>
      <w:marRight w:val="0"/>
      <w:marTop w:val="0"/>
      <w:marBottom w:val="0"/>
      <w:divBdr>
        <w:top w:val="none" w:sz="0" w:space="0" w:color="auto"/>
        <w:left w:val="none" w:sz="0" w:space="0" w:color="auto"/>
        <w:bottom w:val="none" w:sz="0" w:space="0" w:color="auto"/>
        <w:right w:val="none" w:sz="0" w:space="0" w:color="auto"/>
      </w:divBdr>
    </w:div>
    <w:div w:id="205875279">
      <w:bodyDiv w:val="1"/>
      <w:marLeft w:val="0"/>
      <w:marRight w:val="0"/>
      <w:marTop w:val="0"/>
      <w:marBottom w:val="0"/>
      <w:divBdr>
        <w:top w:val="none" w:sz="0" w:space="0" w:color="auto"/>
        <w:left w:val="none" w:sz="0" w:space="0" w:color="auto"/>
        <w:bottom w:val="none" w:sz="0" w:space="0" w:color="auto"/>
        <w:right w:val="none" w:sz="0" w:space="0" w:color="auto"/>
      </w:divBdr>
    </w:div>
    <w:div w:id="207499276">
      <w:bodyDiv w:val="1"/>
      <w:marLeft w:val="0"/>
      <w:marRight w:val="0"/>
      <w:marTop w:val="0"/>
      <w:marBottom w:val="0"/>
      <w:divBdr>
        <w:top w:val="none" w:sz="0" w:space="0" w:color="auto"/>
        <w:left w:val="none" w:sz="0" w:space="0" w:color="auto"/>
        <w:bottom w:val="none" w:sz="0" w:space="0" w:color="auto"/>
        <w:right w:val="none" w:sz="0" w:space="0" w:color="auto"/>
      </w:divBdr>
    </w:div>
    <w:div w:id="223031177">
      <w:bodyDiv w:val="1"/>
      <w:marLeft w:val="0"/>
      <w:marRight w:val="0"/>
      <w:marTop w:val="0"/>
      <w:marBottom w:val="0"/>
      <w:divBdr>
        <w:top w:val="none" w:sz="0" w:space="0" w:color="auto"/>
        <w:left w:val="none" w:sz="0" w:space="0" w:color="auto"/>
        <w:bottom w:val="none" w:sz="0" w:space="0" w:color="auto"/>
        <w:right w:val="none" w:sz="0" w:space="0" w:color="auto"/>
      </w:divBdr>
    </w:div>
    <w:div w:id="225070445">
      <w:bodyDiv w:val="1"/>
      <w:marLeft w:val="0"/>
      <w:marRight w:val="0"/>
      <w:marTop w:val="0"/>
      <w:marBottom w:val="0"/>
      <w:divBdr>
        <w:top w:val="none" w:sz="0" w:space="0" w:color="auto"/>
        <w:left w:val="none" w:sz="0" w:space="0" w:color="auto"/>
        <w:bottom w:val="none" w:sz="0" w:space="0" w:color="auto"/>
        <w:right w:val="none" w:sz="0" w:space="0" w:color="auto"/>
      </w:divBdr>
    </w:div>
    <w:div w:id="225337542">
      <w:bodyDiv w:val="1"/>
      <w:marLeft w:val="0"/>
      <w:marRight w:val="0"/>
      <w:marTop w:val="0"/>
      <w:marBottom w:val="0"/>
      <w:divBdr>
        <w:top w:val="none" w:sz="0" w:space="0" w:color="auto"/>
        <w:left w:val="none" w:sz="0" w:space="0" w:color="auto"/>
        <w:bottom w:val="none" w:sz="0" w:space="0" w:color="auto"/>
        <w:right w:val="none" w:sz="0" w:space="0" w:color="auto"/>
      </w:divBdr>
    </w:div>
    <w:div w:id="228199448">
      <w:bodyDiv w:val="1"/>
      <w:marLeft w:val="0"/>
      <w:marRight w:val="0"/>
      <w:marTop w:val="0"/>
      <w:marBottom w:val="0"/>
      <w:divBdr>
        <w:top w:val="none" w:sz="0" w:space="0" w:color="auto"/>
        <w:left w:val="none" w:sz="0" w:space="0" w:color="auto"/>
        <w:bottom w:val="none" w:sz="0" w:space="0" w:color="auto"/>
        <w:right w:val="none" w:sz="0" w:space="0" w:color="auto"/>
      </w:divBdr>
    </w:div>
    <w:div w:id="235214495">
      <w:bodyDiv w:val="1"/>
      <w:marLeft w:val="0"/>
      <w:marRight w:val="0"/>
      <w:marTop w:val="0"/>
      <w:marBottom w:val="0"/>
      <w:divBdr>
        <w:top w:val="none" w:sz="0" w:space="0" w:color="auto"/>
        <w:left w:val="none" w:sz="0" w:space="0" w:color="auto"/>
        <w:bottom w:val="none" w:sz="0" w:space="0" w:color="auto"/>
        <w:right w:val="none" w:sz="0" w:space="0" w:color="auto"/>
      </w:divBdr>
    </w:div>
    <w:div w:id="242690082">
      <w:bodyDiv w:val="1"/>
      <w:marLeft w:val="0"/>
      <w:marRight w:val="0"/>
      <w:marTop w:val="0"/>
      <w:marBottom w:val="0"/>
      <w:divBdr>
        <w:top w:val="none" w:sz="0" w:space="0" w:color="auto"/>
        <w:left w:val="none" w:sz="0" w:space="0" w:color="auto"/>
        <w:bottom w:val="none" w:sz="0" w:space="0" w:color="auto"/>
        <w:right w:val="none" w:sz="0" w:space="0" w:color="auto"/>
      </w:divBdr>
    </w:div>
    <w:div w:id="247228200">
      <w:bodyDiv w:val="1"/>
      <w:marLeft w:val="0"/>
      <w:marRight w:val="0"/>
      <w:marTop w:val="0"/>
      <w:marBottom w:val="0"/>
      <w:divBdr>
        <w:top w:val="none" w:sz="0" w:space="0" w:color="auto"/>
        <w:left w:val="none" w:sz="0" w:space="0" w:color="auto"/>
        <w:bottom w:val="none" w:sz="0" w:space="0" w:color="auto"/>
        <w:right w:val="none" w:sz="0" w:space="0" w:color="auto"/>
      </w:divBdr>
    </w:div>
    <w:div w:id="254634694">
      <w:bodyDiv w:val="1"/>
      <w:marLeft w:val="0"/>
      <w:marRight w:val="0"/>
      <w:marTop w:val="0"/>
      <w:marBottom w:val="0"/>
      <w:divBdr>
        <w:top w:val="none" w:sz="0" w:space="0" w:color="auto"/>
        <w:left w:val="none" w:sz="0" w:space="0" w:color="auto"/>
        <w:bottom w:val="none" w:sz="0" w:space="0" w:color="auto"/>
        <w:right w:val="none" w:sz="0" w:space="0" w:color="auto"/>
      </w:divBdr>
    </w:div>
    <w:div w:id="259997772">
      <w:bodyDiv w:val="1"/>
      <w:marLeft w:val="0"/>
      <w:marRight w:val="0"/>
      <w:marTop w:val="0"/>
      <w:marBottom w:val="0"/>
      <w:divBdr>
        <w:top w:val="none" w:sz="0" w:space="0" w:color="auto"/>
        <w:left w:val="none" w:sz="0" w:space="0" w:color="auto"/>
        <w:bottom w:val="none" w:sz="0" w:space="0" w:color="auto"/>
        <w:right w:val="none" w:sz="0" w:space="0" w:color="auto"/>
      </w:divBdr>
    </w:div>
    <w:div w:id="272564856">
      <w:bodyDiv w:val="1"/>
      <w:marLeft w:val="0"/>
      <w:marRight w:val="0"/>
      <w:marTop w:val="0"/>
      <w:marBottom w:val="0"/>
      <w:divBdr>
        <w:top w:val="none" w:sz="0" w:space="0" w:color="auto"/>
        <w:left w:val="none" w:sz="0" w:space="0" w:color="auto"/>
        <w:bottom w:val="none" w:sz="0" w:space="0" w:color="auto"/>
        <w:right w:val="none" w:sz="0" w:space="0" w:color="auto"/>
      </w:divBdr>
    </w:div>
    <w:div w:id="281035698">
      <w:bodyDiv w:val="1"/>
      <w:marLeft w:val="0"/>
      <w:marRight w:val="0"/>
      <w:marTop w:val="0"/>
      <w:marBottom w:val="0"/>
      <w:divBdr>
        <w:top w:val="none" w:sz="0" w:space="0" w:color="auto"/>
        <w:left w:val="none" w:sz="0" w:space="0" w:color="auto"/>
        <w:bottom w:val="none" w:sz="0" w:space="0" w:color="auto"/>
        <w:right w:val="none" w:sz="0" w:space="0" w:color="auto"/>
      </w:divBdr>
    </w:div>
    <w:div w:id="299699711">
      <w:bodyDiv w:val="1"/>
      <w:marLeft w:val="0"/>
      <w:marRight w:val="0"/>
      <w:marTop w:val="0"/>
      <w:marBottom w:val="0"/>
      <w:divBdr>
        <w:top w:val="none" w:sz="0" w:space="0" w:color="auto"/>
        <w:left w:val="none" w:sz="0" w:space="0" w:color="auto"/>
        <w:bottom w:val="none" w:sz="0" w:space="0" w:color="auto"/>
        <w:right w:val="none" w:sz="0" w:space="0" w:color="auto"/>
      </w:divBdr>
    </w:div>
    <w:div w:id="300693823">
      <w:bodyDiv w:val="1"/>
      <w:marLeft w:val="0"/>
      <w:marRight w:val="0"/>
      <w:marTop w:val="0"/>
      <w:marBottom w:val="0"/>
      <w:divBdr>
        <w:top w:val="none" w:sz="0" w:space="0" w:color="auto"/>
        <w:left w:val="none" w:sz="0" w:space="0" w:color="auto"/>
        <w:bottom w:val="none" w:sz="0" w:space="0" w:color="auto"/>
        <w:right w:val="none" w:sz="0" w:space="0" w:color="auto"/>
      </w:divBdr>
    </w:div>
    <w:div w:id="311061010">
      <w:bodyDiv w:val="1"/>
      <w:marLeft w:val="0"/>
      <w:marRight w:val="0"/>
      <w:marTop w:val="0"/>
      <w:marBottom w:val="0"/>
      <w:divBdr>
        <w:top w:val="none" w:sz="0" w:space="0" w:color="auto"/>
        <w:left w:val="none" w:sz="0" w:space="0" w:color="auto"/>
        <w:bottom w:val="none" w:sz="0" w:space="0" w:color="auto"/>
        <w:right w:val="none" w:sz="0" w:space="0" w:color="auto"/>
      </w:divBdr>
    </w:div>
    <w:div w:id="313605052">
      <w:bodyDiv w:val="1"/>
      <w:marLeft w:val="0"/>
      <w:marRight w:val="0"/>
      <w:marTop w:val="0"/>
      <w:marBottom w:val="0"/>
      <w:divBdr>
        <w:top w:val="none" w:sz="0" w:space="0" w:color="auto"/>
        <w:left w:val="none" w:sz="0" w:space="0" w:color="auto"/>
        <w:bottom w:val="none" w:sz="0" w:space="0" w:color="auto"/>
        <w:right w:val="none" w:sz="0" w:space="0" w:color="auto"/>
      </w:divBdr>
    </w:div>
    <w:div w:id="318507536">
      <w:bodyDiv w:val="1"/>
      <w:marLeft w:val="0"/>
      <w:marRight w:val="0"/>
      <w:marTop w:val="0"/>
      <w:marBottom w:val="0"/>
      <w:divBdr>
        <w:top w:val="none" w:sz="0" w:space="0" w:color="auto"/>
        <w:left w:val="none" w:sz="0" w:space="0" w:color="auto"/>
        <w:bottom w:val="none" w:sz="0" w:space="0" w:color="auto"/>
        <w:right w:val="none" w:sz="0" w:space="0" w:color="auto"/>
      </w:divBdr>
    </w:div>
    <w:div w:id="322241800">
      <w:bodyDiv w:val="1"/>
      <w:marLeft w:val="0"/>
      <w:marRight w:val="0"/>
      <w:marTop w:val="0"/>
      <w:marBottom w:val="0"/>
      <w:divBdr>
        <w:top w:val="none" w:sz="0" w:space="0" w:color="auto"/>
        <w:left w:val="none" w:sz="0" w:space="0" w:color="auto"/>
        <w:bottom w:val="none" w:sz="0" w:space="0" w:color="auto"/>
        <w:right w:val="none" w:sz="0" w:space="0" w:color="auto"/>
      </w:divBdr>
    </w:div>
    <w:div w:id="325716977">
      <w:bodyDiv w:val="1"/>
      <w:marLeft w:val="0"/>
      <w:marRight w:val="0"/>
      <w:marTop w:val="0"/>
      <w:marBottom w:val="0"/>
      <w:divBdr>
        <w:top w:val="none" w:sz="0" w:space="0" w:color="auto"/>
        <w:left w:val="none" w:sz="0" w:space="0" w:color="auto"/>
        <w:bottom w:val="none" w:sz="0" w:space="0" w:color="auto"/>
        <w:right w:val="none" w:sz="0" w:space="0" w:color="auto"/>
      </w:divBdr>
    </w:div>
    <w:div w:id="335303607">
      <w:bodyDiv w:val="1"/>
      <w:marLeft w:val="0"/>
      <w:marRight w:val="0"/>
      <w:marTop w:val="0"/>
      <w:marBottom w:val="0"/>
      <w:divBdr>
        <w:top w:val="none" w:sz="0" w:space="0" w:color="auto"/>
        <w:left w:val="none" w:sz="0" w:space="0" w:color="auto"/>
        <w:bottom w:val="none" w:sz="0" w:space="0" w:color="auto"/>
        <w:right w:val="none" w:sz="0" w:space="0" w:color="auto"/>
      </w:divBdr>
    </w:div>
    <w:div w:id="343434510">
      <w:bodyDiv w:val="1"/>
      <w:marLeft w:val="0"/>
      <w:marRight w:val="0"/>
      <w:marTop w:val="0"/>
      <w:marBottom w:val="0"/>
      <w:divBdr>
        <w:top w:val="none" w:sz="0" w:space="0" w:color="auto"/>
        <w:left w:val="none" w:sz="0" w:space="0" w:color="auto"/>
        <w:bottom w:val="none" w:sz="0" w:space="0" w:color="auto"/>
        <w:right w:val="none" w:sz="0" w:space="0" w:color="auto"/>
      </w:divBdr>
    </w:div>
    <w:div w:id="345638446">
      <w:bodyDiv w:val="1"/>
      <w:marLeft w:val="0"/>
      <w:marRight w:val="0"/>
      <w:marTop w:val="0"/>
      <w:marBottom w:val="0"/>
      <w:divBdr>
        <w:top w:val="none" w:sz="0" w:space="0" w:color="auto"/>
        <w:left w:val="none" w:sz="0" w:space="0" w:color="auto"/>
        <w:bottom w:val="none" w:sz="0" w:space="0" w:color="auto"/>
        <w:right w:val="none" w:sz="0" w:space="0" w:color="auto"/>
      </w:divBdr>
    </w:div>
    <w:div w:id="347870834">
      <w:bodyDiv w:val="1"/>
      <w:marLeft w:val="0"/>
      <w:marRight w:val="0"/>
      <w:marTop w:val="0"/>
      <w:marBottom w:val="0"/>
      <w:divBdr>
        <w:top w:val="none" w:sz="0" w:space="0" w:color="auto"/>
        <w:left w:val="none" w:sz="0" w:space="0" w:color="auto"/>
        <w:bottom w:val="none" w:sz="0" w:space="0" w:color="auto"/>
        <w:right w:val="none" w:sz="0" w:space="0" w:color="auto"/>
      </w:divBdr>
    </w:div>
    <w:div w:id="350690569">
      <w:bodyDiv w:val="1"/>
      <w:marLeft w:val="0"/>
      <w:marRight w:val="0"/>
      <w:marTop w:val="0"/>
      <w:marBottom w:val="0"/>
      <w:divBdr>
        <w:top w:val="none" w:sz="0" w:space="0" w:color="auto"/>
        <w:left w:val="none" w:sz="0" w:space="0" w:color="auto"/>
        <w:bottom w:val="none" w:sz="0" w:space="0" w:color="auto"/>
        <w:right w:val="none" w:sz="0" w:space="0" w:color="auto"/>
      </w:divBdr>
    </w:div>
    <w:div w:id="352460552">
      <w:bodyDiv w:val="1"/>
      <w:marLeft w:val="0"/>
      <w:marRight w:val="0"/>
      <w:marTop w:val="0"/>
      <w:marBottom w:val="0"/>
      <w:divBdr>
        <w:top w:val="none" w:sz="0" w:space="0" w:color="auto"/>
        <w:left w:val="none" w:sz="0" w:space="0" w:color="auto"/>
        <w:bottom w:val="none" w:sz="0" w:space="0" w:color="auto"/>
        <w:right w:val="none" w:sz="0" w:space="0" w:color="auto"/>
      </w:divBdr>
    </w:div>
    <w:div w:id="353113846">
      <w:bodyDiv w:val="1"/>
      <w:marLeft w:val="0"/>
      <w:marRight w:val="0"/>
      <w:marTop w:val="0"/>
      <w:marBottom w:val="0"/>
      <w:divBdr>
        <w:top w:val="none" w:sz="0" w:space="0" w:color="auto"/>
        <w:left w:val="none" w:sz="0" w:space="0" w:color="auto"/>
        <w:bottom w:val="none" w:sz="0" w:space="0" w:color="auto"/>
        <w:right w:val="none" w:sz="0" w:space="0" w:color="auto"/>
      </w:divBdr>
    </w:div>
    <w:div w:id="357314393">
      <w:bodyDiv w:val="1"/>
      <w:marLeft w:val="0"/>
      <w:marRight w:val="0"/>
      <w:marTop w:val="0"/>
      <w:marBottom w:val="0"/>
      <w:divBdr>
        <w:top w:val="none" w:sz="0" w:space="0" w:color="auto"/>
        <w:left w:val="none" w:sz="0" w:space="0" w:color="auto"/>
        <w:bottom w:val="none" w:sz="0" w:space="0" w:color="auto"/>
        <w:right w:val="none" w:sz="0" w:space="0" w:color="auto"/>
      </w:divBdr>
    </w:div>
    <w:div w:id="373384700">
      <w:bodyDiv w:val="1"/>
      <w:marLeft w:val="0"/>
      <w:marRight w:val="0"/>
      <w:marTop w:val="0"/>
      <w:marBottom w:val="0"/>
      <w:divBdr>
        <w:top w:val="none" w:sz="0" w:space="0" w:color="auto"/>
        <w:left w:val="none" w:sz="0" w:space="0" w:color="auto"/>
        <w:bottom w:val="none" w:sz="0" w:space="0" w:color="auto"/>
        <w:right w:val="none" w:sz="0" w:space="0" w:color="auto"/>
      </w:divBdr>
    </w:div>
    <w:div w:id="375354137">
      <w:bodyDiv w:val="1"/>
      <w:marLeft w:val="0"/>
      <w:marRight w:val="0"/>
      <w:marTop w:val="0"/>
      <w:marBottom w:val="0"/>
      <w:divBdr>
        <w:top w:val="none" w:sz="0" w:space="0" w:color="auto"/>
        <w:left w:val="none" w:sz="0" w:space="0" w:color="auto"/>
        <w:bottom w:val="none" w:sz="0" w:space="0" w:color="auto"/>
        <w:right w:val="none" w:sz="0" w:space="0" w:color="auto"/>
      </w:divBdr>
    </w:div>
    <w:div w:id="379288324">
      <w:bodyDiv w:val="1"/>
      <w:marLeft w:val="0"/>
      <w:marRight w:val="0"/>
      <w:marTop w:val="0"/>
      <w:marBottom w:val="0"/>
      <w:divBdr>
        <w:top w:val="none" w:sz="0" w:space="0" w:color="auto"/>
        <w:left w:val="none" w:sz="0" w:space="0" w:color="auto"/>
        <w:bottom w:val="none" w:sz="0" w:space="0" w:color="auto"/>
        <w:right w:val="none" w:sz="0" w:space="0" w:color="auto"/>
      </w:divBdr>
    </w:div>
    <w:div w:id="387340552">
      <w:bodyDiv w:val="1"/>
      <w:marLeft w:val="0"/>
      <w:marRight w:val="0"/>
      <w:marTop w:val="0"/>
      <w:marBottom w:val="0"/>
      <w:divBdr>
        <w:top w:val="none" w:sz="0" w:space="0" w:color="auto"/>
        <w:left w:val="none" w:sz="0" w:space="0" w:color="auto"/>
        <w:bottom w:val="none" w:sz="0" w:space="0" w:color="auto"/>
        <w:right w:val="none" w:sz="0" w:space="0" w:color="auto"/>
      </w:divBdr>
    </w:div>
    <w:div w:id="390732613">
      <w:bodyDiv w:val="1"/>
      <w:marLeft w:val="0"/>
      <w:marRight w:val="0"/>
      <w:marTop w:val="0"/>
      <w:marBottom w:val="0"/>
      <w:divBdr>
        <w:top w:val="none" w:sz="0" w:space="0" w:color="auto"/>
        <w:left w:val="none" w:sz="0" w:space="0" w:color="auto"/>
        <w:bottom w:val="none" w:sz="0" w:space="0" w:color="auto"/>
        <w:right w:val="none" w:sz="0" w:space="0" w:color="auto"/>
      </w:divBdr>
    </w:div>
    <w:div w:id="396167519">
      <w:bodyDiv w:val="1"/>
      <w:marLeft w:val="0"/>
      <w:marRight w:val="0"/>
      <w:marTop w:val="0"/>
      <w:marBottom w:val="0"/>
      <w:divBdr>
        <w:top w:val="none" w:sz="0" w:space="0" w:color="auto"/>
        <w:left w:val="none" w:sz="0" w:space="0" w:color="auto"/>
        <w:bottom w:val="none" w:sz="0" w:space="0" w:color="auto"/>
        <w:right w:val="none" w:sz="0" w:space="0" w:color="auto"/>
      </w:divBdr>
    </w:div>
    <w:div w:id="404230035">
      <w:bodyDiv w:val="1"/>
      <w:marLeft w:val="0"/>
      <w:marRight w:val="0"/>
      <w:marTop w:val="0"/>
      <w:marBottom w:val="0"/>
      <w:divBdr>
        <w:top w:val="none" w:sz="0" w:space="0" w:color="auto"/>
        <w:left w:val="none" w:sz="0" w:space="0" w:color="auto"/>
        <w:bottom w:val="none" w:sz="0" w:space="0" w:color="auto"/>
        <w:right w:val="none" w:sz="0" w:space="0" w:color="auto"/>
      </w:divBdr>
    </w:div>
    <w:div w:id="407268119">
      <w:bodyDiv w:val="1"/>
      <w:marLeft w:val="0"/>
      <w:marRight w:val="0"/>
      <w:marTop w:val="0"/>
      <w:marBottom w:val="0"/>
      <w:divBdr>
        <w:top w:val="none" w:sz="0" w:space="0" w:color="auto"/>
        <w:left w:val="none" w:sz="0" w:space="0" w:color="auto"/>
        <w:bottom w:val="none" w:sz="0" w:space="0" w:color="auto"/>
        <w:right w:val="none" w:sz="0" w:space="0" w:color="auto"/>
      </w:divBdr>
    </w:div>
    <w:div w:id="418990034">
      <w:bodyDiv w:val="1"/>
      <w:marLeft w:val="0"/>
      <w:marRight w:val="0"/>
      <w:marTop w:val="0"/>
      <w:marBottom w:val="0"/>
      <w:divBdr>
        <w:top w:val="none" w:sz="0" w:space="0" w:color="auto"/>
        <w:left w:val="none" w:sz="0" w:space="0" w:color="auto"/>
        <w:bottom w:val="none" w:sz="0" w:space="0" w:color="auto"/>
        <w:right w:val="none" w:sz="0" w:space="0" w:color="auto"/>
      </w:divBdr>
    </w:div>
    <w:div w:id="426466514">
      <w:bodyDiv w:val="1"/>
      <w:marLeft w:val="0"/>
      <w:marRight w:val="0"/>
      <w:marTop w:val="0"/>
      <w:marBottom w:val="0"/>
      <w:divBdr>
        <w:top w:val="none" w:sz="0" w:space="0" w:color="auto"/>
        <w:left w:val="none" w:sz="0" w:space="0" w:color="auto"/>
        <w:bottom w:val="none" w:sz="0" w:space="0" w:color="auto"/>
        <w:right w:val="none" w:sz="0" w:space="0" w:color="auto"/>
      </w:divBdr>
    </w:div>
    <w:div w:id="451440077">
      <w:bodyDiv w:val="1"/>
      <w:marLeft w:val="0"/>
      <w:marRight w:val="0"/>
      <w:marTop w:val="0"/>
      <w:marBottom w:val="0"/>
      <w:divBdr>
        <w:top w:val="none" w:sz="0" w:space="0" w:color="auto"/>
        <w:left w:val="none" w:sz="0" w:space="0" w:color="auto"/>
        <w:bottom w:val="none" w:sz="0" w:space="0" w:color="auto"/>
        <w:right w:val="none" w:sz="0" w:space="0" w:color="auto"/>
      </w:divBdr>
    </w:div>
    <w:div w:id="458181756">
      <w:bodyDiv w:val="1"/>
      <w:marLeft w:val="0"/>
      <w:marRight w:val="0"/>
      <w:marTop w:val="0"/>
      <w:marBottom w:val="0"/>
      <w:divBdr>
        <w:top w:val="none" w:sz="0" w:space="0" w:color="auto"/>
        <w:left w:val="none" w:sz="0" w:space="0" w:color="auto"/>
        <w:bottom w:val="none" w:sz="0" w:space="0" w:color="auto"/>
        <w:right w:val="none" w:sz="0" w:space="0" w:color="auto"/>
      </w:divBdr>
    </w:div>
    <w:div w:id="464084452">
      <w:bodyDiv w:val="1"/>
      <w:marLeft w:val="0"/>
      <w:marRight w:val="0"/>
      <w:marTop w:val="0"/>
      <w:marBottom w:val="0"/>
      <w:divBdr>
        <w:top w:val="none" w:sz="0" w:space="0" w:color="auto"/>
        <w:left w:val="none" w:sz="0" w:space="0" w:color="auto"/>
        <w:bottom w:val="none" w:sz="0" w:space="0" w:color="auto"/>
        <w:right w:val="none" w:sz="0" w:space="0" w:color="auto"/>
      </w:divBdr>
    </w:div>
    <w:div w:id="467474154">
      <w:bodyDiv w:val="1"/>
      <w:marLeft w:val="0"/>
      <w:marRight w:val="0"/>
      <w:marTop w:val="0"/>
      <w:marBottom w:val="0"/>
      <w:divBdr>
        <w:top w:val="none" w:sz="0" w:space="0" w:color="auto"/>
        <w:left w:val="none" w:sz="0" w:space="0" w:color="auto"/>
        <w:bottom w:val="none" w:sz="0" w:space="0" w:color="auto"/>
        <w:right w:val="none" w:sz="0" w:space="0" w:color="auto"/>
      </w:divBdr>
    </w:div>
    <w:div w:id="468740639">
      <w:bodyDiv w:val="1"/>
      <w:marLeft w:val="0"/>
      <w:marRight w:val="0"/>
      <w:marTop w:val="0"/>
      <w:marBottom w:val="0"/>
      <w:divBdr>
        <w:top w:val="none" w:sz="0" w:space="0" w:color="auto"/>
        <w:left w:val="none" w:sz="0" w:space="0" w:color="auto"/>
        <w:bottom w:val="none" w:sz="0" w:space="0" w:color="auto"/>
        <w:right w:val="none" w:sz="0" w:space="0" w:color="auto"/>
      </w:divBdr>
    </w:div>
    <w:div w:id="469442941">
      <w:bodyDiv w:val="1"/>
      <w:marLeft w:val="0"/>
      <w:marRight w:val="0"/>
      <w:marTop w:val="0"/>
      <w:marBottom w:val="0"/>
      <w:divBdr>
        <w:top w:val="none" w:sz="0" w:space="0" w:color="auto"/>
        <w:left w:val="none" w:sz="0" w:space="0" w:color="auto"/>
        <w:bottom w:val="none" w:sz="0" w:space="0" w:color="auto"/>
        <w:right w:val="none" w:sz="0" w:space="0" w:color="auto"/>
      </w:divBdr>
    </w:div>
    <w:div w:id="481972693">
      <w:bodyDiv w:val="1"/>
      <w:marLeft w:val="0"/>
      <w:marRight w:val="0"/>
      <w:marTop w:val="0"/>
      <w:marBottom w:val="0"/>
      <w:divBdr>
        <w:top w:val="none" w:sz="0" w:space="0" w:color="auto"/>
        <w:left w:val="none" w:sz="0" w:space="0" w:color="auto"/>
        <w:bottom w:val="none" w:sz="0" w:space="0" w:color="auto"/>
        <w:right w:val="none" w:sz="0" w:space="0" w:color="auto"/>
      </w:divBdr>
    </w:div>
    <w:div w:id="485973584">
      <w:bodyDiv w:val="1"/>
      <w:marLeft w:val="0"/>
      <w:marRight w:val="0"/>
      <w:marTop w:val="0"/>
      <w:marBottom w:val="0"/>
      <w:divBdr>
        <w:top w:val="none" w:sz="0" w:space="0" w:color="auto"/>
        <w:left w:val="none" w:sz="0" w:space="0" w:color="auto"/>
        <w:bottom w:val="none" w:sz="0" w:space="0" w:color="auto"/>
        <w:right w:val="none" w:sz="0" w:space="0" w:color="auto"/>
      </w:divBdr>
    </w:div>
    <w:div w:id="491415913">
      <w:bodyDiv w:val="1"/>
      <w:marLeft w:val="0"/>
      <w:marRight w:val="0"/>
      <w:marTop w:val="0"/>
      <w:marBottom w:val="0"/>
      <w:divBdr>
        <w:top w:val="none" w:sz="0" w:space="0" w:color="auto"/>
        <w:left w:val="none" w:sz="0" w:space="0" w:color="auto"/>
        <w:bottom w:val="none" w:sz="0" w:space="0" w:color="auto"/>
        <w:right w:val="none" w:sz="0" w:space="0" w:color="auto"/>
      </w:divBdr>
    </w:div>
    <w:div w:id="493297938">
      <w:bodyDiv w:val="1"/>
      <w:marLeft w:val="0"/>
      <w:marRight w:val="0"/>
      <w:marTop w:val="0"/>
      <w:marBottom w:val="0"/>
      <w:divBdr>
        <w:top w:val="none" w:sz="0" w:space="0" w:color="auto"/>
        <w:left w:val="none" w:sz="0" w:space="0" w:color="auto"/>
        <w:bottom w:val="none" w:sz="0" w:space="0" w:color="auto"/>
        <w:right w:val="none" w:sz="0" w:space="0" w:color="auto"/>
      </w:divBdr>
    </w:div>
    <w:div w:id="494567043">
      <w:bodyDiv w:val="1"/>
      <w:marLeft w:val="0"/>
      <w:marRight w:val="0"/>
      <w:marTop w:val="0"/>
      <w:marBottom w:val="0"/>
      <w:divBdr>
        <w:top w:val="none" w:sz="0" w:space="0" w:color="auto"/>
        <w:left w:val="none" w:sz="0" w:space="0" w:color="auto"/>
        <w:bottom w:val="none" w:sz="0" w:space="0" w:color="auto"/>
        <w:right w:val="none" w:sz="0" w:space="0" w:color="auto"/>
      </w:divBdr>
    </w:div>
    <w:div w:id="497229856">
      <w:bodyDiv w:val="1"/>
      <w:marLeft w:val="0"/>
      <w:marRight w:val="0"/>
      <w:marTop w:val="0"/>
      <w:marBottom w:val="0"/>
      <w:divBdr>
        <w:top w:val="none" w:sz="0" w:space="0" w:color="auto"/>
        <w:left w:val="none" w:sz="0" w:space="0" w:color="auto"/>
        <w:bottom w:val="none" w:sz="0" w:space="0" w:color="auto"/>
        <w:right w:val="none" w:sz="0" w:space="0" w:color="auto"/>
      </w:divBdr>
    </w:div>
    <w:div w:id="502671444">
      <w:bodyDiv w:val="1"/>
      <w:marLeft w:val="0"/>
      <w:marRight w:val="0"/>
      <w:marTop w:val="0"/>
      <w:marBottom w:val="0"/>
      <w:divBdr>
        <w:top w:val="none" w:sz="0" w:space="0" w:color="auto"/>
        <w:left w:val="none" w:sz="0" w:space="0" w:color="auto"/>
        <w:bottom w:val="none" w:sz="0" w:space="0" w:color="auto"/>
        <w:right w:val="none" w:sz="0" w:space="0" w:color="auto"/>
      </w:divBdr>
    </w:div>
    <w:div w:id="505562917">
      <w:bodyDiv w:val="1"/>
      <w:marLeft w:val="0"/>
      <w:marRight w:val="0"/>
      <w:marTop w:val="0"/>
      <w:marBottom w:val="0"/>
      <w:divBdr>
        <w:top w:val="none" w:sz="0" w:space="0" w:color="auto"/>
        <w:left w:val="none" w:sz="0" w:space="0" w:color="auto"/>
        <w:bottom w:val="none" w:sz="0" w:space="0" w:color="auto"/>
        <w:right w:val="none" w:sz="0" w:space="0" w:color="auto"/>
      </w:divBdr>
    </w:div>
    <w:div w:id="507132978">
      <w:bodyDiv w:val="1"/>
      <w:marLeft w:val="0"/>
      <w:marRight w:val="0"/>
      <w:marTop w:val="0"/>
      <w:marBottom w:val="0"/>
      <w:divBdr>
        <w:top w:val="none" w:sz="0" w:space="0" w:color="auto"/>
        <w:left w:val="none" w:sz="0" w:space="0" w:color="auto"/>
        <w:bottom w:val="none" w:sz="0" w:space="0" w:color="auto"/>
        <w:right w:val="none" w:sz="0" w:space="0" w:color="auto"/>
      </w:divBdr>
    </w:div>
    <w:div w:id="533691025">
      <w:bodyDiv w:val="1"/>
      <w:marLeft w:val="0"/>
      <w:marRight w:val="0"/>
      <w:marTop w:val="0"/>
      <w:marBottom w:val="0"/>
      <w:divBdr>
        <w:top w:val="none" w:sz="0" w:space="0" w:color="auto"/>
        <w:left w:val="none" w:sz="0" w:space="0" w:color="auto"/>
        <w:bottom w:val="none" w:sz="0" w:space="0" w:color="auto"/>
        <w:right w:val="none" w:sz="0" w:space="0" w:color="auto"/>
      </w:divBdr>
    </w:div>
    <w:div w:id="534460873">
      <w:bodyDiv w:val="1"/>
      <w:marLeft w:val="0"/>
      <w:marRight w:val="0"/>
      <w:marTop w:val="0"/>
      <w:marBottom w:val="0"/>
      <w:divBdr>
        <w:top w:val="none" w:sz="0" w:space="0" w:color="auto"/>
        <w:left w:val="none" w:sz="0" w:space="0" w:color="auto"/>
        <w:bottom w:val="none" w:sz="0" w:space="0" w:color="auto"/>
        <w:right w:val="none" w:sz="0" w:space="0" w:color="auto"/>
      </w:divBdr>
    </w:div>
    <w:div w:id="551158394">
      <w:bodyDiv w:val="1"/>
      <w:marLeft w:val="0"/>
      <w:marRight w:val="0"/>
      <w:marTop w:val="0"/>
      <w:marBottom w:val="0"/>
      <w:divBdr>
        <w:top w:val="none" w:sz="0" w:space="0" w:color="auto"/>
        <w:left w:val="none" w:sz="0" w:space="0" w:color="auto"/>
        <w:bottom w:val="none" w:sz="0" w:space="0" w:color="auto"/>
        <w:right w:val="none" w:sz="0" w:space="0" w:color="auto"/>
      </w:divBdr>
    </w:div>
    <w:div w:id="564489643">
      <w:bodyDiv w:val="1"/>
      <w:marLeft w:val="0"/>
      <w:marRight w:val="0"/>
      <w:marTop w:val="0"/>
      <w:marBottom w:val="0"/>
      <w:divBdr>
        <w:top w:val="none" w:sz="0" w:space="0" w:color="auto"/>
        <w:left w:val="none" w:sz="0" w:space="0" w:color="auto"/>
        <w:bottom w:val="none" w:sz="0" w:space="0" w:color="auto"/>
        <w:right w:val="none" w:sz="0" w:space="0" w:color="auto"/>
      </w:divBdr>
    </w:div>
    <w:div w:id="572592326">
      <w:bodyDiv w:val="1"/>
      <w:marLeft w:val="0"/>
      <w:marRight w:val="0"/>
      <w:marTop w:val="0"/>
      <w:marBottom w:val="0"/>
      <w:divBdr>
        <w:top w:val="none" w:sz="0" w:space="0" w:color="auto"/>
        <w:left w:val="none" w:sz="0" w:space="0" w:color="auto"/>
        <w:bottom w:val="none" w:sz="0" w:space="0" w:color="auto"/>
        <w:right w:val="none" w:sz="0" w:space="0" w:color="auto"/>
      </w:divBdr>
    </w:div>
    <w:div w:id="573777177">
      <w:bodyDiv w:val="1"/>
      <w:marLeft w:val="0"/>
      <w:marRight w:val="0"/>
      <w:marTop w:val="0"/>
      <w:marBottom w:val="0"/>
      <w:divBdr>
        <w:top w:val="none" w:sz="0" w:space="0" w:color="auto"/>
        <w:left w:val="none" w:sz="0" w:space="0" w:color="auto"/>
        <w:bottom w:val="none" w:sz="0" w:space="0" w:color="auto"/>
        <w:right w:val="none" w:sz="0" w:space="0" w:color="auto"/>
      </w:divBdr>
    </w:div>
    <w:div w:id="575438175">
      <w:bodyDiv w:val="1"/>
      <w:marLeft w:val="0"/>
      <w:marRight w:val="0"/>
      <w:marTop w:val="0"/>
      <w:marBottom w:val="0"/>
      <w:divBdr>
        <w:top w:val="none" w:sz="0" w:space="0" w:color="auto"/>
        <w:left w:val="none" w:sz="0" w:space="0" w:color="auto"/>
        <w:bottom w:val="none" w:sz="0" w:space="0" w:color="auto"/>
        <w:right w:val="none" w:sz="0" w:space="0" w:color="auto"/>
      </w:divBdr>
    </w:div>
    <w:div w:id="577205315">
      <w:bodyDiv w:val="1"/>
      <w:marLeft w:val="0"/>
      <w:marRight w:val="0"/>
      <w:marTop w:val="0"/>
      <w:marBottom w:val="0"/>
      <w:divBdr>
        <w:top w:val="none" w:sz="0" w:space="0" w:color="auto"/>
        <w:left w:val="none" w:sz="0" w:space="0" w:color="auto"/>
        <w:bottom w:val="none" w:sz="0" w:space="0" w:color="auto"/>
        <w:right w:val="none" w:sz="0" w:space="0" w:color="auto"/>
      </w:divBdr>
    </w:div>
    <w:div w:id="580213355">
      <w:bodyDiv w:val="1"/>
      <w:marLeft w:val="0"/>
      <w:marRight w:val="0"/>
      <w:marTop w:val="0"/>
      <w:marBottom w:val="0"/>
      <w:divBdr>
        <w:top w:val="none" w:sz="0" w:space="0" w:color="auto"/>
        <w:left w:val="none" w:sz="0" w:space="0" w:color="auto"/>
        <w:bottom w:val="none" w:sz="0" w:space="0" w:color="auto"/>
        <w:right w:val="none" w:sz="0" w:space="0" w:color="auto"/>
      </w:divBdr>
    </w:div>
    <w:div w:id="587350271">
      <w:bodyDiv w:val="1"/>
      <w:marLeft w:val="0"/>
      <w:marRight w:val="0"/>
      <w:marTop w:val="0"/>
      <w:marBottom w:val="0"/>
      <w:divBdr>
        <w:top w:val="none" w:sz="0" w:space="0" w:color="auto"/>
        <w:left w:val="none" w:sz="0" w:space="0" w:color="auto"/>
        <w:bottom w:val="none" w:sz="0" w:space="0" w:color="auto"/>
        <w:right w:val="none" w:sz="0" w:space="0" w:color="auto"/>
      </w:divBdr>
    </w:div>
    <w:div w:id="597636311">
      <w:bodyDiv w:val="1"/>
      <w:marLeft w:val="0"/>
      <w:marRight w:val="0"/>
      <w:marTop w:val="0"/>
      <w:marBottom w:val="0"/>
      <w:divBdr>
        <w:top w:val="none" w:sz="0" w:space="0" w:color="auto"/>
        <w:left w:val="none" w:sz="0" w:space="0" w:color="auto"/>
        <w:bottom w:val="none" w:sz="0" w:space="0" w:color="auto"/>
        <w:right w:val="none" w:sz="0" w:space="0" w:color="auto"/>
      </w:divBdr>
    </w:div>
    <w:div w:id="599800691">
      <w:bodyDiv w:val="1"/>
      <w:marLeft w:val="0"/>
      <w:marRight w:val="0"/>
      <w:marTop w:val="0"/>
      <w:marBottom w:val="0"/>
      <w:divBdr>
        <w:top w:val="none" w:sz="0" w:space="0" w:color="auto"/>
        <w:left w:val="none" w:sz="0" w:space="0" w:color="auto"/>
        <w:bottom w:val="none" w:sz="0" w:space="0" w:color="auto"/>
        <w:right w:val="none" w:sz="0" w:space="0" w:color="auto"/>
      </w:divBdr>
    </w:div>
    <w:div w:id="601765500">
      <w:bodyDiv w:val="1"/>
      <w:marLeft w:val="0"/>
      <w:marRight w:val="0"/>
      <w:marTop w:val="0"/>
      <w:marBottom w:val="0"/>
      <w:divBdr>
        <w:top w:val="none" w:sz="0" w:space="0" w:color="auto"/>
        <w:left w:val="none" w:sz="0" w:space="0" w:color="auto"/>
        <w:bottom w:val="none" w:sz="0" w:space="0" w:color="auto"/>
        <w:right w:val="none" w:sz="0" w:space="0" w:color="auto"/>
      </w:divBdr>
    </w:div>
    <w:div w:id="609094221">
      <w:bodyDiv w:val="1"/>
      <w:marLeft w:val="0"/>
      <w:marRight w:val="0"/>
      <w:marTop w:val="0"/>
      <w:marBottom w:val="0"/>
      <w:divBdr>
        <w:top w:val="none" w:sz="0" w:space="0" w:color="auto"/>
        <w:left w:val="none" w:sz="0" w:space="0" w:color="auto"/>
        <w:bottom w:val="none" w:sz="0" w:space="0" w:color="auto"/>
        <w:right w:val="none" w:sz="0" w:space="0" w:color="auto"/>
      </w:divBdr>
    </w:div>
    <w:div w:id="618293247">
      <w:bodyDiv w:val="1"/>
      <w:marLeft w:val="0"/>
      <w:marRight w:val="0"/>
      <w:marTop w:val="0"/>
      <w:marBottom w:val="0"/>
      <w:divBdr>
        <w:top w:val="none" w:sz="0" w:space="0" w:color="auto"/>
        <w:left w:val="none" w:sz="0" w:space="0" w:color="auto"/>
        <w:bottom w:val="none" w:sz="0" w:space="0" w:color="auto"/>
        <w:right w:val="none" w:sz="0" w:space="0" w:color="auto"/>
      </w:divBdr>
    </w:div>
    <w:div w:id="622347069">
      <w:bodyDiv w:val="1"/>
      <w:marLeft w:val="0"/>
      <w:marRight w:val="0"/>
      <w:marTop w:val="0"/>
      <w:marBottom w:val="0"/>
      <w:divBdr>
        <w:top w:val="none" w:sz="0" w:space="0" w:color="auto"/>
        <w:left w:val="none" w:sz="0" w:space="0" w:color="auto"/>
        <w:bottom w:val="none" w:sz="0" w:space="0" w:color="auto"/>
        <w:right w:val="none" w:sz="0" w:space="0" w:color="auto"/>
      </w:divBdr>
    </w:div>
    <w:div w:id="628705892">
      <w:bodyDiv w:val="1"/>
      <w:marLeft w:val="0"/>
      <w:marRight w:val="0"/>
      <w:marTop w:val="0"/>
      <w:marBottom w:val="0"/>
      <w:divBdr>
        <w:top w:val="none" w:sz="0" w:space="0" w:color="auto"/>
        <w:left w:val="none" w:sz="0" w:space="0" w:color="auto"/>
        <w:bottom w:val="none" w:sz="0" w:space="0" w:color="auto"/>
        <w:right w:val="none" w:sz="0" w:space="0" w:color="auto"/>
      </w:divBdr>
    </w:div>
    <w:div w:id="628823137">
      <w:bodyDiv w:val="1"/>
      <w:marLeft w:val="0"/>
      <w:marRight w:val="0"/>
      <w:marTop w:val="0"/>
      <w:marBottom w:val="0"/>
      <w:divBdr>
        <w:top w:val="none" w:sz="0" w:space="0" w:color="auto"/>
        <w:left w:val="none" w:sz="0" w:space="0" w:color="auto"/>
        <w:bottom w:val="none" w:sz="0" w:space="0" w:color="auto"/>
        <w:right w:val="none" w:sz="0" w:space="0" w:color="auto"/>
      </w:divBdr>
    </w:div>
    <w:div w:id="636422689">
      <w:bodyDiv w:val="1"/>
      <w:marLeft w:val="0"/>
      <w:marRight w:val="0"/>
      <w:marTop w:val="0"/>
      <w:marBottom w:val="0"/>
      <w:divBdr>
        <w:top w:val="none" w:sz="0" w:space="0" w:color="auto"/>
        <w:left w:val="none" w:sz="0" w:space="0" w:color="auto"/>
        <w:bottom w:val="none" w:sz="0" w:space="0" w:color="auto"/>
        <w:right w:val="none" w:sz="0" w:space="0" w:color="auto"/>
      </w:divBdr>
    </w:div>
    <w:div w:id="647132067">
      <w:bodyDiv w:val="1"/>
      <w:marLeft w:val="0"/>
      <w:marRight w:val="0"/>
      <w:marTop w:val="0"/>
      <w:marBottom w:val="0"/>
      <w:divBdr>
        <w:top w:val="none" w:sz="0" w:space="0" w:color="auto"/>
        <w:left w:val="none" w:sz="0" w:space="0" w:color="auto"/>
        <w:bottom w:val="none" w:sz="0" w:space="0" w:color="auto"/>
        <w:right w:val="none" w:sz="0" w:space="0" w:color="auto"/>
      </w:divBdr>
    </w:div>
    <w:div w:id="693506250">
      <w:bodyDiv w:val="1"/>
      <w:marLeft w:val="0"/>
      <w:marRight w:val="0"/>
      <w:marTop w:val="0"/>
      <w:marBottom w:val="0"/>
      <w:divBdr>
        <w:top w:val="none" w:sz="0" w:space="0" w:color="auto"/>
        <w:left w:val="none" w:sz="0" w:space="0" w:color="auto"/>
        <w:bottom w:val="none" w:sz="0" w:space="0" w:color="auto"/>
        <w:right w:val="none" w:sz="0" w:space="0" w:color="auto"/>
      </w:divBdr>
    </w:div>
    <w:div w:id="703211697">
      <w:bodyDiv w:val="1"/>
      <w:marLeft w:val="0"/>
      <w:marRight w:val="0"/>
      <w:marTop w:val="0"/>
      <w:marBottom w:val="0"/>
      <w:divBdr>
        <w:top w:val="none" w:sz="0" w:space="0" w:color="auto"/>
        <w:left w:val="none" w:sz="0" w:space="0" w:color="auto"/>
        <w:bottom w:val="none" w:sz="0" w:space="0" w:color="auto"/>
        <w:right w:val="none" w:sz="0" w:space="0" w:color="auto"/>
      </w:divBdr>
    </w:div>
    <w:div w:id="703991852">
      <w:bodyDiv w:val="1"/>
      <w:marLeft w:val="0"/>
      <w:marRight w:val="0"/>
      <w:marTop w:val="0"/>
      <w:marBottom w:val="0"/>
      <w:divBdr>
        <w:top w:val="none" w:sz="0" w:space="0" w:color="auto"/>
        <w:left w:val="none" w:sz="0" w:space="0" w:color="auto"/>
        <w:bottom w:val="none" w:sz="0" w:space="0" w:color="auto"/>
        <w:right w:val="none" w:sz="0" w:space="0" w:color="auto"/>
      </w:divBdr>
    </w:div>
    <w:div w:id="709107911">
      <w:bodyDiv w:val="1"/>
      <w:marLeft w:val="0"/>
      <w:marRight w:val="0"/>
      <w:marTop w:val="0"/>
      <w:marBottom w:val="0"/>
      <w:divBdr>
        <w:top w:val="none" w:sz="0" w:space="0" w:color="auto"/>
        <w:left w:val="none" w:sz="0" w:space="0" w:color="auto"/>
        <w:bottom w:val="none" w:sz="0" w:space="0" w:color="auto"/>
        <w:right w:val="none" w:sz="0" w:space="0" w:color="auto"/>
      </w:divBdr>
    </w:div>
    <w:div w:id="710374566">
      <w:bodyDiv w:val="1"/>
      <w:marLeft w:val="0"/>
      <w:marRight w:val="0"/>
      <w:marTop w:val="0"/>
      <w:marBottom w:val="0"/>
      <w:divBdr>
        <w:top w:val="none" w:sz="0" w:space="0" w:color="auto"/>
        <w:left w:val="none" w:sz="0" w:space="0" w:color="auto"/>
        <w:bottom w:val="none" w:sz="0" w:space="0" w:color="auto"/>
        <w:right w:val="none" w:sz="0" w:space="0" w:color="auto"/>
      </w:divBdr>
    </w:div>
    <w:div w:id="719743557">
      <w:bodyDiv w:val="1"/>
      <w:marLeft w:val="0"/>
      <w:marRight w:val="0"/>
      <w:marTop w:val="0"/>
      <w:marBottom w:val="0"/>
      <w:divBdr>
        <w:top w:val="none" w:sz="0" w:space="0" w:color="auto"/>
        <w:left w:val="none" w:sz="0" w:space="0" w:color="auto"/>
        <w:bottom w:val="none" w:sz="0" w:space="0" w:color="auto"/>
        <w:right w:val="none" w:sz="0" w:space="0" w:color="auto"/>
      </w:divBdr>
    </w:div>
    <w:div w:id="737170426">
      <w:bodyDiv w:val="1"/>
      <w:marLeft w:val="0"/>
      <w:marRight w:val="0"/>
      <w:marTop w:val="0"/>
      <w:marBottom w:val="0"/>
      <w:divBdr>
        <w:top w:val="none" w:sz="0" w:space="0" w:color="auto"/>
        <w:left w:val="none" w:sz="0" w:space="0" w:color="auto"/>
        <w:bottom w:val="none" w:sz="0" w:space="0" w:color="auto"/>
        <w:right w:val="none" w:sz="0" w:space="0" w:color="auto"/>
      </w:divBdr>
    </w:div>
    <w:div w:id="741174745">
      <w:bodyDiv w:val="1"/>
      <w:marLeft w:val="0"/>
      <w:marRight w:val="0"/>
      <w:marTop w:val="0"/>
      <w:marBottom w:val="0"/>
      <w:divBdr>
        <w:top w:val="none" w:sz="0" w:space="0" w:color="auto"/>
        <w:left w:val="none" w:sz="0" w:space="0" w:color="auto"/>
        <w:bottom w:val="none" w:sz="0" w:space="0" w:color="auto"/>
        <w:right w:val="none" w:sz="0" w:space="0" w:color="auto"/>
      </w:divBdr>
    </w:div>
    <w:div w:id="745418883">
      <w:bodyDiv w:val="1"/>
      <w:marLeft w:val="0"/>
      <w:marRight w:val="0"/>
      <w:marTop w:val="0"/>
      <w:marBottom w:val="0"/>
      <w:divBdr>
        <w:top w:val="none" w:sz="0" w:space="0" w:color="auto"/>
        <w:left w:val="none" w:sz="0" w:space="0" w:color="auto"/>
        <w:bottom w:val="none" w:sz="0" w:space="0" w:color="auto"/>
        <w:right w:val="none" w:sz="0" w:space="0" w:color="auto"/>
      </w:divBdr>
    </w:div>
    <w:div w:id="755243957">
      <w:bodyDiv w:val="1"/>
      <w:marLeft w:val="0"/>
      <w:marRight w:val="0"/>
      <w:marTop w:val="0"/>
      <w:marBottom w:val="0"/>
      <w:divBdr>
        <w:top w:val="none" w:sz="0" w:space="0" w:color="auto"/>
        <w:left w:val="none" w:sz="0" w:space="0" w:color="auto"/>
        <w:bottom w:val="none" w:sz="0" w:space="0" w:color="auto"/>
        <w:right w:val="none" w:sz="0" w:space="0" w:color="auto"/>
      </w:divBdr>
    </w:div>
    <w:div w:id="759641124">
      <w:bodyDiv w:val="1"/>
      <w:marLeft w:val="0"/>
      <w:marRight w:val="0"/>
      <w:marTop w:val="0"/>
      <w:marBottom w:val="0"/>
      <w:divBdr>
        <w:top w:val="none" w:sz="0" w:space="0" w:color="auto"/>
        <w:left w:val="none" w:sz="0" w:space="0" w:color="auto"/>
        <w:bottom w:val="none" w:sz="0" w:space="0" w:color="auto"/>
        <w:right w:val="none" w:sz="0" w:space="0" w:color="auto"/>
      </w:divBdr>
    </w:div>
    <w:div w:id="760955723">
      <w:bodyDiv w:val="1"/>
      <w:marLeft w:val="0"/>
      <w:marRight w:val="0"/>
      <w:marTop w:val="0"/>
      <w:marBottom w:val="0"/>
      <w:divBdr>
        <w:top w:val="none" w:sz="0" w:space="0" w:color="auto"/>
        <w:left w:val="none" w:sz="0" w:space="0" w:color="auto"/>
        <w:bottom w:val="none" w:sz="0" w:space="0" w:color="auto"/>
        <w:right w:val="none" w:sz="0" w:space="0" w:color="auto"/>
      </w:divBdr>
    </w:div>
    <w:div w:id="765149603">
      <w:bodyDiv w:val="1"/>
      <w:marLeft w:val="0"/>
      <w:marRight w:val="0"/>
      <w:marTop w:val="0"/>
      <w:marBottom w:val="0"/>
      <w:divBdr>
        <w:top w:val="none" w:sz="0" w:space="0" w:color="auto"/>
        <w:left w:val="none" w:sz="0" w:space="0" w:color="auto"/>
        <w:bottom w:val="none" w:sz="0" w:space="0" w:color="auto"/>
        <w:right w:val="none" w:sz="0" w:space="0" w:color="auto"/>
      </w:divBdr>
    </w:div>
    <w:div w:id="767307901">
      <w:bodyDiv w:val="1"/>
      <w:marLeft w:val="0"/>
      <w:marRight w:val="0"/>
      <w:marTop w:val="0"/>
      <w:marBottom w:val="0"/>
      <w:divBdr>
        <w:top w:val="none" w:sz="0" w:space="0" w:color="auto"/>
        <w:left w:val="none" w:sz="0" w:space="0" w:color="auto"/>
        <w:bottom w:val="none" w:sz="0" w:space="0" w:color="auto"/>
        <w:right w:val="none" w:sz="0" w:space="0" w:color="auto"/>
      </w:divBdr>
    </w:div>
    <w:div w:id="774057386">
      <w:bodyDiv w:val="1"/>
      <w:marLeft w:val="0"/>
      <w:marRight w:val="0"/>
      <w:marTop w:val="0"/>
      <w:marBottom w:val="0"/>
      <w:divBdr>
        <w:top w:val="none" w:sz="0" w:space="0" w:color="auto"/>
        <w:left w:val="none" w:sz="0" w:space="0" w:color="auto"/>
        <w:bottom w:val="none" w:sz="0" w:space="0" w:color="auto"/>
        <w:right w:val="none" w:sz="0" w:space="0" w:color="auto"/>
      </w:divBdr>
    </w:div>
    <w:div w:id="793714278">
      <w:bodyDiv w:val="1"/>
      <w:marLeft w:val="0"/>
      <w:marRight w:val="0"/>
      <w:marTop w:val="0"/>
      <w:marBottom w:val="0"/>
      <w:divBdr>
        <w:top w:val="none" w:sz="0" w:space="0" w:color="auto"/>
        <w:left w:val="none" w:sz="0" w:space="0" w:color="auto"/>
        <w:bottom w:val="none" w:sz="0" w:space="0" w:color="auto"/>
        <w:right w:val="none" w:sz="0" w:space="0" w:color="auto"/>
      </w:divBdr>
    </w:div>
    <w:div w:id="793986914">
      <w:bodyDiv w:val="1"/>
      <w:marLeft w:val="0"/>
      <w:marRight w:val="0"/>
      <w:marTop w:val="0"/>
      <w:marBottom w:val="0"/>
      <w:divBdr>
        <w:top w:val="none" w:sz="0" w:space="0" w:color="auto"/>
        <w:left w:val="none" w:sz="0" w:space="0" w:color="auto"/>
        <w:bottom w:val="none" w:sz="0" w:space="0" w:color="auto"/>
        <w:right w:val="none" w:sz="0" w:space="0" w:color="auto"/>
      </w:divBdr>
    </w:div>
    <w:div w:id="797185290">
      <w:bodyDiv w:val="1"/>
      <w:marLeft w:val="0"/>
      <w:marRight w:val="0"/>
      <w:marTop w:val="0"/>
      <w:marBottom w:val="0"/>
      <w:divBdr>
        <w:top w:val="none" w:sz="0" w:space="0" w:color="auto"/>
        <w:left w:val="none" w:sz="0" w:space="0" w:color="auto"/>
        <w:bottom w:val="none" w:sz="0" w:space="0" w:color="auto"/>
        <w:right w:val="none" w:sz="0" w:space="0" w:color="auto"/>
      </w:divBdr>
    </w:div>
    <w:div w:id="808088366">
      <w:bodyDiv w:val="1"/>
      <w:marLeft w:val="0"/>
      <w:marRight w:val="0"/>
      <w:marTop w:val="0"/>
      <w:marBottom w:val="0"/>
      <w:divBdr>
        <w:top w:val="none" w:sz="0" w:space="0" w:color="auto"/>
        <w:left w:val="none" w:sz="0" w:space="0" w:color="auto"/>
        <w:bottom w:val="none" w:sz="0" w:space="0" w:color="auto"/>
        <w:right w:val="none" w:sz="0" w:space="0" w:color="auto"/>
      </w:divBdr>
    </w:div>
    <w:div w:id="809328159">
      <w:bodyDiv w:val="1"/>
      <w:marLeft w:val="0"/>
      <w:marRight w:val="0"/>
      <w:marTop w:val="0"/>
      <w:marBottom w:val="0"/>
      <w:divBdr>
        <w:top w:val="none" w:sz="0" w:space="0" w:color="auto"/>
        <w:left w:val="none" w:sz="0" w:space="0" w:color="auto"/>
        <w:bottom w:val="none" w:sz="0" w:space="0" w:color="auto"/>
        <w:right w:val="none" w:sz="0" w:space="0" w:color="auto"/>
      </w:divBdr>
    </w:div>
    <w:div w:id="821195056">
      <w:bodyDiv w:val="1"/>
      <w:marLeft w:val="0"/>
      <w:marRight w:val="0"/>
      <w:marTop w:val="0"/>
      <w:marBottom w:val="0"/>
      <w:divBdr>
        <w:top w:val="none" w:sz="0" w:space="0" w:color="auto"/>
        <w:left w:val="none" w:sz="0" w:space="0" w:color="auto"/>
        <w:bottom w:val="none" w:sz="0" w:space="0" w:color="auto"/>
        <w:right w:val="none" w:sz="0" w:space="0" w:color="auto"/>
      </w:divBdr>
    </w:div>
    <w:div w:id="831677521">
      <w:bodyDiv w:val="1"/>
      <w:marLeft w:val="0"/>
      <w:marRight w:val="0"/>
      <w:marTop w:val="0"/>
      <w:marBottom w:val="0"/>
      <w:divBdr>
        <w:top w:val="none" w:sz="0" w:space="0" w:color="auto"/>
        <w:left w:val="none" w:sz="0" w:space="0" w:color="auto"/>
        <w:bottom w:val="none" w:sz="0" w:space="0" w:color="auto"/>
        <w:right w:val="none" w:sz="0" w:space="0" w:color="auto"/>
      </w:divBdr>
    </w:div>
    <w:div w:id="837698884">
      <w:bodyDiv w:val="1"/>
      <w:marLeft w:val="0"/>
      <w:marRight w:val="0"/>
      <w:marTop w:val="0"/>
      <w:marBottom w:val="0"/>
      <w:divBdr>
        <w:top w:val="none" w:sz="0" w:space="0" w:color="auto"/>
        <w:left w:val="none" w:sz="0" w:space="0" w:color="auto"/>
        <w:bottom w:val="none" w:sz="0" w:space="0" w:color="auto"/>
        <w:right w:val="none" w:sz="0" w:space="0" w:color="auto"/>
      </w:divBdr>
    </w:div>
    <w:div w:id="847983980">
      <w:bodyDiv w:val="1"/>
      <w:marLeft w:val="0"/>
      <w:marRight w:val="0"/>
      <w:marTop w:val="0"/>
      <w:marBottom w:val="0"/>
      <w:divBdr>
        <w:top w:val="none" w:sz="0" w:space="0" w:color="auto"/>
        <w:left w:val="none" w:sz="0" w:space="0" w:color="auto"/>
        <w:bottom w:val="none" w:sz="0" w:space="0" w:color="auto"/>
        <w:right w:val="none" w:sz="0" w:space="0" w:color="auto"/>
      </w:divBdr>
    </w:div>
    <w:div w:id="863321377">
      <w:bodyDiv w:val="1"/>
      <w:marLeft w:val="0"/>
      <w:marRight w:val="0"/>
      <w:marTop w:val="0"/>
      <w:marBottom w:val="0"/>
      <w:divBdr>
        <w:top w:val="none" w:sz="0" w:space="0" w:color="auto"/>
        <w:left w:val="none" w:sz="0" w:space="0" w:color="auto"/>
        <w:bottom w:val="none" w:sz="0" w:space="0" w:color="auto"/>
        <w:right w:val="none" w:sz="0" w:space="0" w:color="auto"/>
      </w:divBdr>
    </w:div>
    <w:div w:id="871379613">
      <w:bodyDiv w:val="1"/>
      <w:marLeft w:val="0"/>
      <w:marRight w:val="0"/>
      <w:marTop w:val="0"/>
      <w:marBottom w:val="0"/>
      <w:divBdr>
        <w:top w:val="none" w:sz="0" w:space="0" w:color="auto"/>
        <w:left w:val="none" w:sz="0" w:space="0" w:color="auto"/>
        <w:bottom w:val="none" w:sz="0" w:space="0" w:color="auto"/>
        <w:right w:val="none" w:sz="0" w:space="0" w:color="auto"/>
      </w:divBdr>
    </w:div>
    <w:div w:id="877085551">
      <w:bodyDiv w:val="1"/>
      <w:marLeft w:val="0"/>
      <w:marRight w:val="0"/>
      <w:marTop w:val="0"/>
      <w:marBottom w:val="0"/>
      <w:divBdr>
        <w:top w:val="none" w:sz="0" w:space="0" w:color="auto"/>
        <w:left w:val="none" w:sz="0" w:space="0" w:color="auto"/>
        <w:bottom w:val="none" w:sz="0" w:space="0" w:color="auto"/>
        <w:right w:val="none" w:sz="0" w:space="0" w:color="auto"/>
      </w:divBdr>
    </w:div>
    <w:div w:id="878400580">
      <w:bodyDiv w:val="1"/>
      <w:marLeft w:val="0"/>
      <w:marRight w:val="0"/>
      <w:marTop w:val="0"/>
      <w:marBottom w:val="0"/>
      <w:divBdr>
        <w:top w:val="none" w:sz="0" w:space="0" w:color="auto"/>
        <w:left w:val="none" w:sz="0" w:space="0" w:color="auto"/>
        <w:bottom w:val="none" w:sz="0" w:space="0" w:color="auto"/>
        <w:right w:val="none" w:sz="0" w:space="0" w:color="auto"/>
      </w:divBdr>
    </w:div>
    <w:div w:id="885943871">
      <w:bodyDiv w:val="1"/>
      <w:marLeft w:val="0"/>
      <w:marRight w:val="0"/>
      <w:marTop w:val="0"/>
      <w:marBottom w:val="0"/>
      <w:divBdr>
        <w:top w:val="none" w:sz="0" w:space="0" w:color="auto"/>
        <w:left w:val="none" w:sz="0" w:space="0" w:color="auto"/>
        <w:bottom w:val="none" w:sz="0" w:space="0" w:color="auto"/>
        <w:right w:val="none" w:sz="0" w:space="0" w:color="auto"/>
      </w:divBdr>
    </w:div>
    <w:div w:id="889803188">
      <w:bodyDiv w:val="1"/>
      <w:marLeft w:val="0"/>
      <w:marRight w:val="0"/>
      <w:marTop w:val="0"/>
      <w:marBottom w:val="0"/>
      <w:divBdr>
        <w:top w:val="none" w:sz="0" w:space="0" w:color="auto"/>
        <w:left w:val="none" w:sz="0" w:space="0" w:color="auto"/>
        <w:bottom w:val="none" w:sz="0" w:space="0" w:color="auto"/>
        <w:right w:val="none" w:sz="0" w:space="0" w:color="auto"/>
      </w:divBdr>
    </w:div>
    <w:div w:id="890388575">
      <w:bodyDiv w:val="1"/>
      <w:marLeft w:val="0"/>
      <w:marRight w:val="0"/>
      <w:marTop w:val="0"/>
      <w:marBottom w:val="0"/>
      <w:divBdr>
        <w:top w:val="none" w:sz="0" w:space="0" w:color="auto"/>
        <w:left w:val="none" w:sz="0" w:space="0" w:color="auto"/>
        <w:bottom w:val="none" w:sz="0" w:space="0" w:color="auto"/>
        <w:right w:val="none" w:sz="0" w:space="0" w:color="auto"/>
      </w:divBdr>
    </w:div>
    <w:div w:id="895047860">
      <w:bodyDiv w:val="1"/>
      <w:marLeft w:val="0"/>
      <w:marRight w:val="0"/>
      <w:marTop w:val="0"/>
      <w:marBottom w:val="0"/>
      <w:divBdr>
        <w:top w:val="none" w:sz="0" w:space="0" w:color="auto"/>
        <w:left w:val="none" w:sz="0" w:space="0" w:color="auto"/>
        <w:bottom w:val="none" w:sz="0" w:space="0" w:color="auto"/>
        <w:right w:val="none" w:sz="0" w:space="0" w:color="auto"/>
      </w:divBdr>
    </w:div>
    <w:div w:id="898174892">
      <w:bodyDiv w:val="1"/>
      <w:marLeft w:val="0"/>
      <w:marRight w:val="0"/>
      <w:marTop w:val="0"/>
      <w:marBottom w:val="0"/>
      <w:divBdr>
        <w:top w:val="none" w:sz="0" w:space="0" w:color="auto"/>
        <w:left w:val="none" w:sz="0" w:space="0" w:color="auto"/>
        <w:bottom w:val="none" w:sz="0" w:space="0" w:color="auto"/>
        <w:right w:val="none" w:sz="0" w:space="0" w:color="auto"/>
      </w:divBdr>
    </w:div>
    <w:div w:id="906036380">
      <w:bodyDiv w:val="1"/>
      <w:marLeft w:val="0"/>
      <w:marRight w:val="0"/>
      <w:marTop w:val="0"/>
      <w:marBottom w:val="0"/>
      <w:divBdr>
        <w:top w:val="none" w:sz="0" w:space="0" w:color="auto"/>
        <w:left w:val="none" w:sz="0" w:space="0" w:color="auto"/>
        <w:bottom w:val="none" w:sz="0" w:space="0" w:color="auto"/>
        <w:right w:val="none" w:sz="0" w:space="0" w:color="auto"/>
      </w:divBdr>
    </w:div>
    <w:div w:id="906766072">
      <w:bodyDiv w:val="1"/>
      <w:marLeft w:val="0"/>
      <w:marRight w:val="0"/>
      <w:marTop w:val="0"/>
      <w:marBottom w:val="0"/>
      <w:divBdr>
        <w:top w:val="none" w:sz="0" w:space="0" w:color="auto"/>
        <w:left w:val="none" w:sz="0" w:space="0" w:color="auto"/>
        <w:bottom w:val="none" w:sz="0" w:space="0" w:color="auto"/>
        <w:right w:val="none" w:sz="0" w:space="0" w:color="auto"/>
      </w:divBdr>
    </w:div>
    <w:div w:id="924726642">
      <w:bodyDiv w:val="1"/>
      <w:marLeft w:val="0"/>
      <w:marRight w:val="0"/>
      <w:marTop w:val="0"/>
      <w:marBottom w:val="0"/>
      <w:divBdr>
        <w:top w:val="none" w:sz="0" w:space="0" w:color="auto"/>
        <w:left w:val="none" w:sz="0" w:space="0" w:color="auto"/>
        <w:bottom w:val="none" w:sz="0" w:space="0" w:color="auto"/>
        <w:right w:val="none" w:sz="0" w:space="0" w:color="auto"/>
      </w:divBdr>
    </w:div>
    <w:div w:id="938370303">
      <w:bodyDiv w:val="1"/>
      <w:marLeft w:val="0"/>
      <w:marRight w:val="0"/>
      <w:marTop w:val="0"/>
      <w:marBottom w:val="0"/>
      <w:divBdr>
        <w:top w:val="none" w:sz="0" w:space="0" w:color="auto"/>
        <w:left w:val="none" w:sz="0" w:space="0" w:color="auto"/>
        <w:bottom w:val="none" w:sz="0" w:space="0" w:color="auto"/>
        <w:right w:val="none" w:sz="0" w:space="0" w:color="auto"/>
      </w:divBdr>
    </w:div>
    <w:div w:id="941914107">
      <w:bodyDiv w:val="1"/>
      <w:marLeft w:val="0"/>
      <w:marRight w:val="0"/>
      <w:marTop w:val="0"/>
      <w:marBottom w:val="0"/>
      <w:divBdr>
        <w:top w:val="none" w:sz="0" w:space="0" w:color="auto"/>
        <w:left w:val="none" w:sz="0" w:space="0" w:color="auto"/>
        <w:bottom w:val="none" w:sz="0" w:space="0" w:color="auto"/>
        <w:right w:val="none" w:sz="0" w:space="0" w:color="auto"/>
      </w:divBdr>
    </w:div>
    <w:div w:id="947006335">
      <w:bodyDiv w:val="1"/>
      <w:marLeft w:val="0"/>
      <w:marRight w:val="0"/>
      <w:marTop w:val="0"/>
      <w:marBottom w:val="0"/>
      <w:divBdr>
        <w:top w:val="none" w:sz="0" w:space="0" w:color="auto"/>
        <w:left w:val="none" w:sz="0" w:space="0" w:color="auto"/>
        <w:bottom w:val="none" w:sz="0" w:space="0" w:color="auto"/>
        <w:right w:val="none" w:sz="0" w:space="0" w:color="auto"/>
      </w:divBdr>
    </w:div>
    <w:div w:id="964580390">
      <w:bodyDiv w:val="1"/>
      <w:marLeft w:val="0"/>
      <w:marRight w:val="0"/>
      <w:marTop w:val="0"/>
      <w:marBottom w:val="0"/>
      <w:divBdr>
        <w:top w:val="none" w:sz="0" w:space="0" w:color="auto"/>
        <w:left w:val="none" w:sz="0" w:space="0" w:color="auto"/>
        <w:bottom w:val="none" w:sz="0" w:space="0" w:color="auto"/>
        <w:right w:val="none" w:sz="0" w:space="0" w:color="auto"/>
      </w:divBdr>
    </w:div>
    <w:div w:id="976225974">
      <w:bodyDiv w:val="1"/>
      <w:marLeft w:val="0"/>
      <w:marRight w:val="0"/>
      <w:marTop w:val="0"/>
      <w:marBottom w:val="0"/>
      <w:divBdr>
        <w:top w:val="none" w:sz="0" w:space="0" w:color="auto"/>
        <w:left w:val="none" w:sz="0" w:space="0" w:color="auto"/>
        <w:bottom w:val="none" w:sz="0" w:space="0" w:color="auto"/>
        <w:right w:val="none" w:sz="0" w:space="0" w:color="auto"/>
      </w:divBdr>
    </w:div>
    <w:div w:id="988094143">
      <w:bodyDiv w:val="1"/>
      <w:marLeft w:val="0"/>
      <w:marRight w:val="0"/>
      <w:marTop w:val="0"/>
      <w:marBottom w:val="0"/>
      <w:divBdr>
        <w:top w:val="none" w:sz="0" w:space="0" w:color="auto"/>
        <w:left w:val="none" w:sz="0" w:space="0" w:color="auto"/>
        <w:bottom w:val="none" w:sz="0" w:space="0" w:color="auto"/>
        <w:right w:val="none" w:sz="0" w:space="0" w:color="auto"/>
      </w:divBdr>
    </w:div>
    <w:div w:id="989941204">
      <w:bodyDiv w:val="1"/>
      <w:marLeft w:val="0"/>
      <w:marRight w:val="0"/>
      <w:marTop w:val="0"/>
      <w:marBottom w:val="0"/>
      <w:divBdr>
        <w:top w:val="none" w:sz="0" w:space="0" w:color="auto"/>
        <w:left w:val="none" w:sz="0" w:space="0" w:color="auto"/>
        <w:bottom w:val="none" w:sz="0" w:space="0" w:color="auto"/>
        <w:right w:val="none" w:sz="0" w:space="0" w:color="auto"/>
      </w:divBdr>
    </w:div>
    <w:div w:id="990325564">
      <w:bodyDiv w:val="1"/>
      <w:marLeft w:val="0"/>
      <w:marRight w:val="0"/>
      <w:marTop w:val="0"/>
      <w:marBottom w:val="0"/>
      <w:divBdr>
        <w:top w:val="none" w:sz="0" w:space="0" w:color="auto"/>
        <w:left w:val="none" w:sz="0" w:space="0" w:color="auto"/>
        <w:bottom w:val="none" w:sz="0" w:space="0" w:color="auto"/>
        <w:right w:val="none" w:sz="0" w:space="0" w:color="auto"/>
      </w:divBdr>
    </w:div>
    <w:div w:id="993072232">
      <w:bodyDiv w:val="1"/>
      <w:marLeft w:val="0"/>
      <w:marRight w:val="0"/>
      <w:marTop w:val="0"/>
      <w:marBottom w:val="0"/>
      <w:divBdr>
        <w:top w:val="none" w:sz="0" w:space="0" w:color="auto"/>
        <w:left w:val="none" w:sz="0" w:space="0" w:color="auto"/>
        <w:bottom w:val="none" w:sz="0" w:space="0" w:color="auto"/>
        <w:right w:val="none" w:sz="0" w:space="0" w:color="auto"/>
      </w:divBdr>
    </w:div>
    <w:div w:id="1004279631">
      <w:bodyDiv w:val="1"/>
      <w:marLeft w:val="0"/>
      <w:marRight w:val="0"/>
      <w:marTop w:val="0"/>
      <w:marBottom w:val="0"/>
      <w:divBdr>
        <w:top w:val="none" w:sz="0" w:space="0" w:color="auto"/>
        <w:left w:val="none" w:sz="0" w:space="0" w:color="auto"/>
        <w:bottom w:val="none" w:sz="0" w:space="0" w:color="auto"/>
        <w:right w:val="none" w:sz="0" w:space="0" w:color="auto"/>
      </w:divBdr>
    </w:div>
    <w:div w:id="1007556599">
      <w:bodyDiv w:val="1"/>
      <w:marLeft w:val="0"/>
      <w:marRight w:val="0"/>
      <w:marTop w:val="0"/>
      <w:marBottom w:val="0"/>
      <w:divBdr>
        <w:top w:val="none" w:sz="0" w:space="0" w:color="auto"/>
        <w:left w:val="none" w:sz="0" w:space="0" w:color="auto"/>
        <w:bottom w:val="none" w:sz="0" w:space="0" w:color="auto"/>
        <w:right w:val="none" w:sz="0" w:space="0" w:color="auto"/>
      </w:divBdr>
    </w:div>
    <w:div w:id="1016274135">
      <w:bodyDiv w:val="1"/>
      <w:marLeft w:val="0"/>
      <w:marRight w:val="0"/>
      <w:marTop w:val="0"/>
      <w:marBottom w:val="0"/>
      <w:divBdr>
        <w:top w:val="none" w:sz="0" w:space="0" w:color="auto"/>
        <w:left w:val="none" w:sz="0" w:space="0" w:color="auto"/>
        <w:bottom w:val="none" w:sz="0" w:space="0" w:color="auto"/>
        <w:right w:val="none" w:sz="0" w:space="0" w:color="auto"/>
      </w:divBdr>
    </w:div>
    <w:div w:id="1031153327">
      <w:bodyDiv w:val="1"/>
      <w:marLeft w:val="0"/>
      <w:marRight w:val="0"/>
      <w:marTop w:val="0"/>
      <w:marBottom w:val="0"/>
      <w:divBdr>
        <w:top w:val="none" w:sz="0" w:space="0" w:color="auto"/>
        <w:left w:val="none" w:sz="0" w:space="0" w:color="auto"/>
        <w:bottom w:val="none" w:sz="0" w:space="0" w:color="auto"/>
        <w:right w:val="none" w:sz="0" w:space="0" w:color="auto"/>
      </w:divBdr>
    </w:div>
    <w:div w:id="1038507446">
      <w:bodyDiv w:val="1"/>
      <w:marLeft w:val="0"/>
      <w:marRight w:val="0"/>
      <w:marTop w:val="0"/>
      <w:marBottom w:val="0"/>
      <w:divBdr>
        <w:top w:val="none" w:sz="0" w:space="0" w:color="auto"/>
        <w:left w:val="none" w:sz="0" w:space="0" w:color="auto"/>
        <w:bottom w:val="none" w:sz="0" w:space="0" w:color="auto"/>
        <w:right w:val="none" w:sz="0" w:space="0" w:color="auto"/>
      </w:divBdr>
    </w:div>
    <w:div w:id="1050956049">
      <w:bodyDiv w:val="1"/>
      <w:marLeft w:val="0"/>
      <w:marRight w:val="0"/>
      <w:marTop w:val="0"/>
      <w:marBottom w:val="0"/>
      <w:divBdr>
        <w:top w:val="none" w:sz="0" w:space="0" w:color="auto"/>
        <w:left w:val="none" w:sz="0" w:space="0" w:color="auto"/>
        <w:bottom w:val="none" w:sz="0" w:space="0" w:color="auto"/>
        <w:right w:val="none" w:sz="0" w:space="0" w:color="auto"/>
      </w:divBdr>
    </w:div>
    <w:div w:id="1055590022">
      <w:bodyDiv w:val="1"/>
      <w:marLeft w:val="0"/>
      <w:marRight w:val="0"/>
      <w:marTop w:val="0"/>
      <w:marBottom w:val="0"/>
      <w:divBdr>
        <w:top w:val="none" w:sz="0" w:space="0" w:color="auto"/>
        <w:left w:val="none" w:sz="0" w:space="0" w:color="auto"/>
        <w:bottom w:val="none" w:sz="0" w:space="0" w:color="auto"/>
        <w:right w:val="none" w:sz="0" w:space="0" w:color="auto"/>
      </w:divBdr>
    </w:div>
    <w:div w:id="1056513536">
      <w:bodyDiv w:val="1"/>
      <w:marLeft w:val="0"/>
      <w:marRight w:val="0"/>
      <w:marTop w:val="0"/>
      <w:marBottom w:val="0"/>
      <w:divBdr>
        <w:top w:val="none" w:sz="0" w:space="0" w:color="auto"/>
        <w:left w:val="none" w:sz="0" w:space="0" w:color="auto"/>
        <w:bottom w:val="none" w:sz="0" w:space="0" w:color="auto"/>
        <w:right w:val="none" w:sz="0" w:space="0" w:color="auto"/>
      </w:divBdr>
    </w:div>
    <w:div w:id="1059282170">
      <w:bodyDiv w:val="1"/>
      <w:marLeft w:val="0"/>
      <w:marRight w:val="0"/>
      <w:marTop w:val="0"/>
      <w:marBottom w:val="0"/>
      <w:divBdr>
        <w:top w:val="none" w:sz="0" w:space="0" w:color="auto"/>
        <w:left w:val="none" w:sz="0" w:space="0" w:color="auto"/>
        <w:bottom w:val="none" w:sz="0" w:space="0" w:color="auto"/>
        <w:right w:val="none" w:sz="0" w:space="0" w:color="auto"/>
      </w:divBdr>
    </w:div>
    <w:div w:id="1075316617">
      <w:bodyDiv w:val="1"/>
      <w:marLeft w:val="0"/>
      <w:marRight w:val="0"/>
      <w:marTop w:val="0"/>
      <w:marBottom w:val="0"/>
      <w:divBdr>
        <w:top w:val="none" w:sz="0" w:space="0" w:color="auto"/>
        <w:left w:val="none" w:sz="0" w:space="0" w:color="auto"/>
        <w:bottom w:val="none" w:sz="0" w:space="0" w:color="auto"/>
        <w:right w:val="none" w:sz="0" w:space="0" w:color="auto"/>
      </w:divBdr>
    </w:div>
    <w:div w:id="1076971114">
      <w:bodyDiv w:val="1"/>
      <w:marLeft w:val="0"/>
      <w:marRight w:val="0"/>
      <w:marTop w:val="0"/>
      <w:marBottom w:val="0"/>
      <w:divBdr>
        <w:top w:val="none" w:sz="0" w:space="0" w:color="auto"/>
        <w:left w:val="none" w:sz="0" w:space="0" w:color="auto"/>
        <w:bottom w:val="none" w:sz="0" w:space="0" w:color="auto"/>
        <w:right w:val="none" w:sz="0" w:space="0" w:color="auto"/>
      </w:divBdr>
    </w:div>
    <w:div w:id="1082146849">
      <w:bodyDiv w:val="1"/>
      <w:marLeft w:val="0"/>
      <w:marRight w:val="0"/>
      <w:marTop w:val="0"/>
      <w:marBottom w:val="0"/>
      <w:divBdr>
        <w:top w:val="none" w:sz="0" w:space="0" w:color="auto"/>
        <w:left w:val="none" w:sz="0" w:space="0" w:color="auto"/>
        <w:bottom w:val="none" w:sz="0" w:space="0" w:color="auto"/>
        <w:right w:val="none" w:sz="0" w:space="0" w:color="auto"/>
      </w:divBdr>
    </w:div>
    <w:div w:id="1100103070">
      <w:bodyDiv w:val="1"/>
      <w:marLeft w:val="0"/>
      <w:marRight w:val="0"/>
      <w:marTop w:val="0"/>
      <w:marBottom w:val="0"/>
      <w:divBdr>
        <w:top w:val="none" w:sz="0" w:space="0" w:color="auto"/>
        <w:left w:val="none" w:sz="0" w:space="0" w:color="auto"/>
        <w:bottom w:val="none" w:sz="0" w:space="0" w:color="auto"/>
        <w:right w:val="none" w:sz="0" w:space="0" w:color="auto"/>
      </w:divBdr>
    </w:div>
    <w:div w:id="1102801851">
      <w:bodyDiv w:val="1"/>
      <w:marLeft w:val="0"/>
      <w:marRight w:val="0"/>
      <w:marTop w:val="0"/>
      <w:marBottom w:val="0"/>
      <w:divBdr>
        <w:top w:val="none" w:sz="0" w:space="0" w:color="auto"/>
        <w:left w:val="none" w:sz="0" w:space="0" w:color="auto"/>
        <w:bottom w:val="none" w:sz="0" w:space="0" w:color="auto"/>
        <w:right w:val="none" w:sz="0" w:space="0" w:color="auto"/>
      </w:divBdr>
    </w:div>
    <w:div w:id="1130855214">
      <w:bodyDiv w:val="1"/>
      <w:marLeft w:val="0"/>
      <w:marRight w:val="0"/>
      <w:marTop w:val="0"/>
      <w:marBottom w:val="0"/>
      <w:divBdr>
        <w:top w:val="none" w:sz="0" w:space="0" w:color="auto"/>
        <w:left w:val="none" w:sz="0" w:space="0" w:color="auto"/>
        <w:bottom w:val="none" w:sz="0" w:space="0" w:color="auto"/>
        <w:right w:val="none" w:sz="0" w:space="0" w:color="auto"/>
      </w:divBdr>
    </w:div>
    <w:div w:id="1131636463">
      <w:bodyDiv w:val="1"/>
      <w:marLeft w:val="0"/>
      <w:marRight w:val="0"/>
      <w:marTop w:val="0"/>
      <w:marBottom w:val="0"/>
      <w:divBdr>
        <w:top w:val="none" w:sz="0" w:space="0" w:color="auto"/>
        <w:left w:val="none" w:sz="0" w:space="0" w:color="auto"/>
        <w:bottom w:val="none" w:sz="0" w:space="0" w:color="auto"/>
        <w:right w:val="none" w:sz="0" w:space="0" w:color="auto"/>
      </w:divBdr>
    </w:div>
    <w:div w:id="1133910394">
      <w:bodyDiv w:val="1"/>
      <w:marLeft w:val="0"/>
      <w:marRight w:val="0"/>
      <w:marTop w:val="0"/>
      <w:marBottom w:val="0"/>
      <w:divBdr>
        <w:top w:val="none" w:sz="0" w:space="0" w:color="auto"/>
        <w:left w:val="none" w:sz="0" w:space="0" w:color="auto"/>
        <w:bottom w:val="none" w:sz="0" w:space="0" w:color="auto"/>
        <w:right w:val="none" w:sz="0" w:space="0" w:color="auto"/>
      </w:divBdr>
    </w:div>
    <w:div w:id="1135443396">
      <w:bodyDiv w:val="1"/>
      <w:marLeft w:val="0"/>
      <w:marRight w:val="0"/>
      <w:marTop w:val="0"/>
      <w:marBottom w:val="0"/>
      <w:divBdr>
        <w:top w:val="none" w:sz="0" w:space="0" w:color="auto"/>
        <w:left w:val="none" w:sz="0" w:space="0" w:color="auto"/>
        <w:bottom w:val="none" w:sz="0" w:space="0" w:color="auto"/>
        <w:right w:val="none" w:sz="0" w:space="0" w:color="auto"/>
      </w:divBdr>
    </w:div>
    <w:div w:id="1136219487">
      <w:bodyDiv w:val="1"/>
      <w:marLeft w:val="0"/>
      <w:marRight w:val="0"/>
      <w:marTop w:val="0"/>
      <w:marBottom w:val="0"/>
      <w:divBdr>
        <w:top w:val="none" w:sz="0" w:space="0" w:color="auto"/>
        <w:left w:val="none" w:sz="0" w:space="0" w:color="auto"/>
        <w:bottom w:val="none" w:sz="0" w:space="0" w:color="auto"/>
        <w:right w:val="none" w:sz="0" w:space="0" w:color="auto"/>
      </w:divBdr>
    </w:div>
    <w:div w:id="1139760757">
      <w:bodyDiv w:val="1"/>
      <w:marLeft w:val="0"/>
      <w:marRight w:val="0"/>
      <w:marTop w:val="0"/>
      <w:marBottom w:val="0"/>
      <w:divBdr>
        <w:top w:val="none" w:sz="0" w:space="0" w:color="auto"/>
        <w:left w:val="none" w:sz="0" w:space="0" w:color="auto"/>
        <w:bottom w:val="none" w:sz="0" w:space="0" w:color="auto"/>
        <w:right w:val="none" w:sz="0" w:space="0" w:color="auto"/>
      </w:divBdr>
    </w:div>
    <w:div w:id="1158350488">
      <w:bodyDiv w:val="1"/>
      <w:marLeft w:val="0"/>
      <w:marRight w:val="0"/>
      <w:marTop w:val="0"/>
      <w:marBottom w:val="0"/>
      <w:divBdr>
        <w:top w:val="none" w:sz="0" w:space="0" w:color="auto"/>
        <w:left w:val="none" w:sz="0" w:space="0" w:color="auto"/>
        <w:bottom w:val="none" w:sz="0" w:space="0" w:color="auto"/>
        <w:right w:val="none" w:sz="0" w:space="0" w:color="auto"/>
      </w:divBdr>
    </w:div>
    <w:div w:id="1165046762">
      <w:bodyDiv w:val="1"/>
      <w:marLeft w:val="0"/>
      <w:marRight w:val="0"/>
      <w:marTop w:val="0"/>
      <w:marBottom w:val="0"/>
      <w:divBdr>
        <w:top w:val="none" w:sz="0" w:space="0" w:color="auto"/>
        <w:left w:val="none" w:sz="0" w:space="0" w:color="auto"/>
        <w:bottom w:val="none" w:sz="0" w:space="0" w:color="auto"/>
        <w:right w:val="none" w:sz="0" w:space="0" w:color="auto"/>
      </w:divBdr>
    </w:div>
    <w:div w:id="1184589133">
      <w:bodyDiv w:val="1"/>
      <w:marLeft w:val="0"/>
      <w:marRight w:val="0"/>
      <w:marTop w:val="0"/>
      <w:marBottom w:val="0"/>
      <w:divBdr>
        <w:top w:val="none" w:sz="0" w:space="0" w:color="auto"/>
        <w:left w:val="none" w:sz="0" w:space="0" w:color="auto"/>
        <w:bottom w:val="none" w:sz="0" w:space="0" w:color="auto"/>
        <w:right w:val="none" w:sz="0" w:space="0" w:color="auto"/>
      </w:divBdr>
    </w:div>
    <w:div w:id="1185366337">
      <w:bodyDiv w:val="1"/>
      <w:marLeft w:val="0"/>
      <w:marRight w:val="0"/>
      <w:marTop w:val="0"/>
      <w:marBottom w:val="0"/>
      <w:divBdr>
        <w:top w:val="none" w:sz="0" w:space="0" w:color="auto"/>
        <w:left w:val="none" w:sz="0" w:space="0" w:color="auto"/>
        <w:bottom w:val="none" w:sz="0" w:space="0" w:color="auto"/>
        <w:right w:val="none" w:sz="0" w:space="0" w:color="auto"/>
      </w:divBdr>
    </w:div>
    <w:div w:id="1196575989">
      <w:bodyDiv w:val="1"/>
      <w:marLeft w:val="0"/>
      <w:marRight w:val="0"/>
      <w:marTop w:val="0"/>
      <w:marBottom w:val="0"/>
      <w:divBdr>
        <w:top w:val="none" w:sz="0" w:space="0" w:color="auto"/>
        <w:left w:val="none" w:sz="0" w:space="0" w:color="auto"/>
        <w:bottom w:val="none" w:sz="0" w:space="0" w:color="auto"/>
        <w:right w:val="none" w:sz="0" w:space="0" w:color="auto"/>
      </w:divBdr>
    </w:div>
    <w:div w:id="1204560159">
      <w:bodyDiv w:val="1"/>
      <w:marLeft w:val="0"/>
      <w:marRight w:val="0"/>
      <w:marTop w:val="0"/>
      <w:marBottom w:val="0"/>
      <w:divBdr>
        <w:top w:val="none" w:sz="0" w:space="0" w:color="auto"/>
        <w:left w:val="none" w:sz="0" w:space="0" w:color="auto"/>
        <w:bottom w:val="none" w:sz="0" w:space="0" w:color="auto"/>
        <w:right w:val="none" w:sz="0" w:space="0" w:color="auto"/>
      </w:divBdr>
    </w:div>
    <w:div w:id="1210410249">
      <w:bodyDiv w:val="1"/>
      <w:marLeft w:val="0"/>
      <w:marRight w:val="0"/>
      <w:marTop w:val="0"/>
      <w:marBottom w:val="0"/>
      <w:divBdr>
        <w:top w:val="none" w:sz="0" w:space="0" w:color="auto"/>
        <w:left w:val="none" w:sz="0" w:space="0" w:color="auto"/>
        <w:bottom w:val="none" w:sz="0" w:space="0" w:color="auto"/>
        <w:right w:val="none" w:sz="0" w:space="0" w:color="auto"/>
      </w:divBdr>
    </w:div>
    <w:div w:id="1216544895">
      <w:bodyDiv w:val="1"/>
      <w:marLeft w:val="0"/>
      <w:marRight w:val="0"/>
      <w:marTop w:val="0"/>
      <w:marBottom w:val="0"/>
      <w:divBdr>
        <w:top w:val="none" w:sz="0" w:space="0" w:color="auto"/>
        <w:left w:val="none" w:sz="0" w:space="0" w:color="auto"/>
        <w:bottom w:val="none" w:sz="0" w:space="0" w:color="auto"/>
        <w:right w:val="none" w:sz="0" w:space="0" w:color="auto"/>
      </w:divBdr>
    </w:div>
    <w:div w:id="1219976452">
      <w:bodyDiv w:val="1"/>
      <w:marLeft w:val="0"/>
      <w:marRight w:val="0"/>
      <w:marTop w:val="0"/>
      <w:marBottom w:val="0"/>
      <w:divBdr>
        <w:top w:val="none" w:sz="0" w:space="0" w:color="auto"/>
        <w:left w:val="none" w:sz="0" w:space="0" w:color="auto"/>
        <w:bottom w:val="none" w:sz="0" w:space="0" w:color="auto"/>
        <w:right w:val="none" w:sz="0" w:space="0" w:color="auto"/>
      </w:divBdr>
    </w:div>
    <w:div w:id="1236285893">
      <w:bodyDiv w:val="1"/>
      <w:marLeft w:val="0"/>
      <w:marRight w:val="0"/>
      <w:marTop w:val="0"/>
      <w:marBottom w:val="0"/>
      <w:divBdr>
        <w:top w:val="none" w:sz="0" w:space="0" w:color="auto"/>
        <w:left w:val="none" w:sz="0" w:space="0" w:color="auto"/>
        <w:bottom w:val="none" w:sz="0" w:space="0" w:color="auto"/>
        <w:right w:val="none" w:sz="0" w:space="0" w:color="auto"/>
      </w:divBdr>
    </w:div>
    <w:div w:id="1239482862">
      <w:bodyDiv w:val="1"/>
      <w:marLeft w:val="0"/>
      <w:marRight w:val="0"/>
      <w:marTop w:val="0"/>
      <w:marBottom w:val="0"/>
      <w:divBdr>
        <w:top w:val="none" w:sz="0" w:space="0" w:color="auto"/>
        <w:left w:val="none" w:sz="0" w:space="0" w:color="auto"/>
        <w:bottom w:val="none" w:sz="0" w:space="0" w:color="auto"/>
        <w:right w:val="none" w:sz="0" w:space="0" w:color="auto"/>
      </w:divBdr>
    </w:div>
    <w:div w:id="1242064726">
      <w:bodyDiv w:val="1"/>
      <w:marLeft w:val="0"/>
      <w:marRight w:val="0"/>
      <w:marTop w:val="0"/>
      <w:marBottom w:val="0"/>
      <w:divBdr>
        <w:top w:val="none" w:sz="0" w:space="0" w:color="auto"/>
        <w:left w:val="none" w:sz="0" w:space="0" w:color="auto"/>
        <w:bottom w:val="none" w:sz="0" w:space="0" w:color="auto"/>
        <w:right w:val="none" w:sz="0" w:space="0" w:color="auto"/>
      </w:divBdr>
    </w:div>
    <w:div w:id="1247762118">
      <w:bodyDiv w:val="1"/>
      <w:marLeft w:val="0"/>
      <w:marRight w:val="0"/>
      <w:marTop w:val="0"/>
      <w:marBottom w:val="0"/>
      <w:divBdr>
        <w:top w:val="none" w:sz="0" w:space="0" w:color="auto"/>
        <w:left w:val="none" w:sz="0" w:space="0" w:color="auto"/>
        <w:bottom w:val="none" w:sz="0" w:space="0" w:color="auto"/>
        <w:right w:val="none" w:sz="0" w:space="0" w:color="auto"/>
      </w:divBdr>
    </w:div>
    <w:div w:id="1250694879">
      <w:bodyDiv w:val="1"/>
      <w:marLeft w:val="0"/>
      <w:marRight w:val="0"/>
      <w:marTop w:val="0"/>
      <w:marBottom w:val="0"/>
      <w:divBdr>
        <w:top w:val="none" w:sz="0" w:space="0" w:color="auto"/>
        <w:left w:val="none" w:sz="0" w:space="0" w:color="auto"/>
        <w:bottom w:val="none" w:sz="0" w:space="0" w:color="auto"/>
        <w:right w:val="none" w:sz="0" w:space="0" w:color="auto"/>
      </w:divBdr>
    </w:div>
    <w:div w:id="1251936388">
      <w:bodyDiv w:val="1"/>
      <w:marLeft w:val="0"/>
      <w:marRight w:val="0"/>
      <w:marTop w:val="0"/>
      <w:marBottom w:val="0"/>
      <w:divBdr>
        <w:top w:val="none" w:sz="0" w:space="0" w:color="auto"/>
        <w:left w:val="none" w:sz="0" w:space="0" w:color="auto"/>
        <w:bottom w:val="none" w:sz="0" w:space="0" w:color="auto"/>
        <w:right w:val="none" w:sz="0" w:space="0" w:color="auto"/>
      </w:divBdr>
    </w:div>
    <w:div w:id="1256667052">
      <w:bodyDiv w:val="1"/>
      <w:marLeft w:val="0"/>
      <w:marRight w:val="0"/>
      <w:marTop w:val="0"/>
      <w:marBottom w:val="0"/>
      <w:divBdr>
        <w:top w:val="none" w:sz="0" w:space="0" w:color="auto"/>
        <w:left w:val="none" w:sz="0" w:space="0" w:color="auto"/>
        <w:bottom w:val="none" w:sz="0" w:space="0" w:color="auto"/>
        <w:right w:val="none" w:sz="0" w:space="0" w:color="auto"/>
      </w:divBdr>
    </w:div>
    <w:div w:id="1266113298">
      <w:bodyDiv w:val="1"/>
      <w:marLeft w:val="0"/>
      <w:marRight w:val="0"/>
      <w:marTop w:val="0"/>
      <w:marBottom w:val="0"/>
      <w:divBdr>
        <w:top w:val="none" w:sz="0" w:space="0" w:color="auto"/>
        <w:left w:val="none" w:sz="0" w:space="0" w:color="auto"/>
        <w:bottom w:val="none" w:sz="0" w:space="0" w:color="auto"/>
        <w:right w:val="none" w:sz="0" w:space="0" w:color="auto"/>
      </w:divBdr>
    </w:div>
    <w:div w:id="1269509552">
      <w:bodyDiv w:val="1"/>
      <w:marLeft w:val="0"/>
      <w:marRight w:val="0"/>
      <w:marTop w:val="0"/>
      <w:marBottom w:val="0"/>
      <w:divBdr>
        <w:top w:val="none" w:sz="0" w:space="0" w:color="auto"/>
        <w:left w:val="none" w:sz="0" w:space="0" w:color="auto"/>
        <w:bottom w:val="none" w:sz="0" w:space="0" w:color="auto"/>
        <w:right w:val="none" w:sz="0" w:space="0" w:color="auto"/>
      </w:divBdr>
    </w:div>
    <w:div w:id="1274287327">
      <w:bodyDiv w:val="1"/>
      <w:marLeft w:val="0"/>
      <w:marRight w:val="0"/>
      <w:marTop w:val="0"/>
      <w:marBottom w:val="0"/>
      <w:divBdr>
        <w:top w:val="none" w:sz="0" w:space="0" w:color="auto"/>
        <w:left w:val="none" w:sz="0" w:space="0" w:color="auto"/>
        <w:bottom w:val="none" w:sz="0" w:space="0" w:color="auto"/>
        <w:right w:val="none" w:sz="0" w:space="0" w:color="auto"/>
      </w:divBdr>
    </w:div>
    <w:div w:id="1278759701">
      <w:bodyDiv w:val="1"/>
      <w:marLeft w:val="0"/>
      <w:marRight w:val="0"/>
      <w:marTop w:val="0"/>
      <w:marBottom w:val="0"/>
      <w:divBdr>
        <w:top w:val="none" w:sz="0" w:space="0" w:color="auto"/>
        <w:left w:val="none" w:sz="0" w:space="0" w:color="auto"/>
        <w:bottom w:val="none" w:sz="0" w:space="0" w:color="auto"/>
        <w:right w:val="none" w:sz="0" w:space="0" w:color="auto"/>
      </w:divBdr>
    </w:div>
    <w:div w:id="1281952300">
      <w:bodyDiv w:val="1"/>
      <w:marLeft w:val="0"/>
      <w:marRight w:val="0"/>
      <w:marTop w:val="0"/>
      <w:marBottom w:val="0"/>
      <w:divBdr>
        <w:top w:val="none" w:sz="0" w:space="0" w:color="auto"/>
        <w:left w:val="none" w:sz="0" w:space="0" w:color="auto"/>
        <w:bottom w:val="none" w:sz="0" w:space="0" w:color="auto"/>
        <w:right w:val="none" w:sz="0" w:space="0" w:color="auto"/>
      </w:divBdr>
    </w:div>
    <w:div w:id="1285575165">
      <w:bodyDiv w:val="1"/>
      <w:marLeft w:val="0"/>
      <w:marRight w:val="0"/>
      <w:marTop w:val="0"/>
      <w:marBottom w:val="0"/>
      <w:divBdr>
        <w:top w:val="none" w:sz="0" w:space="0" w:color="auto"/>
        <w:left w:val="none" w:sz="0" w:space="0" w:color="auto"/>
        <w:bottom w:val="none" w:sz="0" w:space="0" w:color="auto"/>
        <w:right w:val="none" w:sz="0" w:space="0" w:color="auto"/>
      </w:divBdr>
    </w:div>
    <w:div w:id="1301614724">
      <w:bodyDiv w:val="1"/>
      <w:marLeft w:val="0"/>
      <w:marRight w:val="0"/>
      <w:marTop w:val="0"/>
      <w:marBottom w:val="0"/>
      <w:divBdr>
        <w:top w:val="none" w:sz="0" w:space="0" w:color="auto"/>
        <w:left w:val="none" w:sz="0" w:space="0" w:color="auto"/>
        <w:bottom w:val="none" w:sz="0" w:space="0" w:color="auto"/>
        <w:right w:val="none" w:sz="0" w:space="0" w:color="auto"/>
      </w:divBdr>
    </w:div>
    <w:div w:id="1311323827">
      <w:bodyDiv w:val="1"/>
      <w:marLeft w:val="0"/>
      <w:marRight w:val="0"/>
      <w:marTop w:val="0"/>
      <w:marBottom w:val="0"/>
      <w:divBdr>
        <w:top w:val="none" w:sz="0" w:space="0" w:color="auto"/>
        <w:left w:val="none" w:sz="0" w:space="0" w:color="auto"/>
        <w:bottom w:val="none" w:sz="0" w:space="0" w:color="auto"/>
        <w:right w:val="none" w:sz="0" w:space="0" w:color="auto"/>
      </w:divBdr>
    </w:div>
    <w:div w:id="1314793521">
      <w:bodyDiv w:val="1"/>
      <w:marLeft w:val="0"/>
      <w:marRight w:val="0"/>
      <w:marTop w:val="0"/>
      <w:marBottom w:val="0"/>
      <w:divBdr>
        <w:top w:val="none" w:sz="0" w:space="0" w:color="auto"/>
        <w:left w:val="none" w:sz="0" w:space="0" w:color="auto"/>
        <w:bottom w:val="none" w:sz="0" w:space="0" w:color="auto"/>
        <w:right w:val="none" w:sz="0" w:space="0" w:color="auto"/>
      </w:divBdr>
    </w:div>
    <w:div w:id="1321811490">
      <w:bodyDiv w:val="1"/>
      <w:marLeft w:val="0"/>
      <w:marRight w:val="0"/>
      <w:marTop w:val="0"/>
      <w:marBottom w:val="0"/>
      <w:divBdr>
        <w:top w:val="none" w:sz="0" w:space="0" w:color="auto"/>
        <w:left w:val="none" w:sz="0" w:space="0" w:color="auto"/>
        <w:bottom w:val="none" w:sz="0" w:space="0" w:color="auto"/>
        <w:right w:val="none" w:sz="0" w:space="0" w:color="auto"/>
      </w:divBdr>
    </w:div>
    <w:div w:id="1329288387">
      <w:bodyDiv w:val="1"/>
      <w:marLeft w:val="0"/>
      <w:marRight w:val="0"/>
      <w:marTop w:val="0"/>
      <w:marBottom w:val="0"/>
      <w:divBdr>
        <w:top w:val="none" w:sz="0" w:space="0" w:color="auto"/>
        <w:left w:val="none" w:sz="0" w:space="0" w:color="auto"/>
        <w:bottom w:val="none" w:sz="0" w:space="0" w:color="auto"/>
        <w:right w:val="none" w:sz="0" w:space="0" w:color="auto"/>
      </w:divBdr>
    </w:div>
    <w:div w:id="1329937634">
      <w:bodyDiv w:val="1"/>
      <w:marLeft w:val="0"/>
      <w:marRight w:val="0"/>
      <w:marTop w:val="0"/>
      <w:marBottom w:val="0"/>
      <w:divBdr>
        <w:top w:val="none" w:sz="0" w:space="0" w:color="auto"/>
        <w:left w:val="none" w:sz="0" w:space="0" w:color="auto"/>
        <w:bottom w:val="none" w:sz="0" w:space="0" w:color="auto"/>
        <w:right w:val="none" w:sz="0" w:space="0" w:color="auto"/>
      </w:divBdr>
    </w:div>
    <w:div w:id="1332951683">
      <w:bodyDiv w:val="1"/>
      <w:marLeft w:val="0"/>
      <w:marRight w:val="0"/>
      <w:marTop w:val="0"/>
      <w:marBottom w:val="0"/>
      <w:divBdr>
        <w:top w:val="none" w:sz="0" w:space="0" w:color="auto"/>
        <w:left w:val="none" w:sz="0" w:space="0" w:color="auto"/>
        <w:bottom w:val="none" w:sz="0" w:space="0" w:color="auto"/>
        <w:right w:val="none" w:sz="0" w:space="0" w:color="auto"/>
      </w:divBdr>
    </w:div>
    <w:div w:id="1333605034">
      <w:bodyDiv w:val="1"/>
      <w:marLeft w:val="0"/>
      <w:marRight w:val="0"/>
      <w:marTop w:val="0"/>
      <w:marBottom w:val="0"/>
      <w:divBdr>
        <w:top w:val="none" w:sz="0" w:space="0" w:color="auto"/>
        <w:left w:val="none" w:sz="0" w:space="0" w:color="auto"/>
        <w:bottom w:val="none" w:sz="0" w:space="0" w:color="auto"/>
        <w:right w:val="none" w:sz="0" w:space="0" w:color="auto"/>
      </w:divBdr>
    </w:div>
    <w:div w:id="1353146011">
      <w:bodyDiv w:val="1"/>
      <w:marLeft w:val="0"/>
      <w:marRight w:val="0"/>
      <w:marTop w:val="0"/>
      <w:marBottom w:val="0"/>
      <w:divBdr>
        <w:top w:val="none" w:sz="0" w:space="0" w:color="auto"/>
        <w:left w:val="none" w:sz="0" w:space="0" w:color="auto"/>
        <w:bottom w:val="none" w:sz="0" w:space="0" w:color="auto"/>
        <w:right w:val="none" w:sz="0" w:space="0" w:color="auto"/>
      </w:divBdr>
    </w:div>
    <w:div w:id="1355691403">
      <w:bodyDiv w:val="1"/>
      <w:marLeft w:val="0"/>
      <w:marRight w:val="0"/>
      <w:marTop w:val="0"/>
      <w:marBottom w:val="0"/>
      <w:divBdr>
        <w:top w:val="none" w:sz="0" w:space="0" w:color="auto"/>
        <w:left w:val="none" w:sz="0" w:space="0" w:color="auto"/>
        <w:bottom w:val="none" w:sz="0" w:space="0" w:color="auto"/>
        <w:right w:val="none" w:sz="0" w:space="0" w:color="auto"/>
      </w:divBdr>
    </w:div>
    <w:div w:id="1388067173">
      <w:bodyDiv w:val="1"/>
      <w:marLeft w:val="0"/>
      <w:marRight w:val="0"/>
      <w:marTop w:val="0"/>
      <w:marBottom w:val="0"/>
      <w:divBdr>
        <w:top w:val="none" w:sz="0" w:space="0" w:color="auto"/>
        <w:left w:val="none" w:sz="0" w:space="0" w:color="auto"/>
        <w:bottom w:val="none" w:sz="0" w:space="0" w:color="auto"/>
        <w:right w:val="none" w:sz="0" w:space="0" w:color="auto"/>
      </w:divBdr>
    </w:div>
    <w:div w:id="1389496218">
      <w:bodyDiv w:val="1"/>
      <w:marLeft w:val="0"/>
      <w:marRight w:val="0"/>
      <w:marTop w:val="0"/>
      <w:marBottom w:val="0"/>
      <w:divBdr>
        <w:top w:val="none" w:sz="0" w:space="0" w:color="auto"/>
        <w:left w:val="none" w:sz="0" w:space="0" w:color="auto"/>
        <w:bottom w:val="none" w:sz="0" w:space="0" w:color="auto"/>
        <w:right w:val="none" w:sz="0" w:space="0" w:color="auto"/>
      </w:divBdr>
    </w:div>
    <w:div w:id="1389844003">
      <w:bodyDiv w:val="1"/>
      <w:marLeft w:val="0"/>
      <w:marRight w:val="0"/>
      <w:marTop w:val="0"/>
      <w:marBottom w:val="0"/>
      <w:divBdr>
        <w:top w:val="none" w:sz="0" w:space="0" w:color="auto"/>
        <w:left w:val="none" w:sz="0" w:space="0" w:color="auto"/>
        <w:bottom w:val="none" w:sz="0" w:space="0" w:color="auto"/>
        <w:right w:val="none" w:sz="0" w:space="0" w:color="auto"/>
      </w:divBdr>
    </w:div>
    <w:div w:id="1397514582">
      <w:bodyDiv w:val="1"/>
      <w:marLeft w:val="0"/>
      <w:marRight w:val="0"/>
      <w:marTop w:val="0"/>
      <w:marBottom w:val="0"/>
      <w:divBdr>
        <w:top w:val="none" w:sz="0" w:space="0" w:color="auto"/>
        <w:left w:val="none" w:sz="0" w:space="0" w:color="auto"/>
        <w:bottom w:val="none" w:sz="0" w:space="0" w:color="auto"/>
        <w:right w:val="none" w:sz="0" w:space="0" w:color="auto"/>
      </w:divBdr>
    </w:div>
    <w:div w:id="1401438957">
      <w:bodyDiv w:val="1"/>
      <w:marLeft w:val="0"/>
      <w:marRight w:val="0"/>
      <w:marTop w:val="0"/>
      <w:marBottom w:val="0"/>
      <w:divBdr>
        <w:top w:val="none" w:sz="0" w:space="0" w:color="auto"/>
        <w:left w:val="none" w:sz="0" w:space="0" w:color="auto"/>
        <w:bottom w:val="none" w:sz="0" w:space="0" w:color="auto"/>
        <w:right w:val="none" w:sz="0" w:space="0" w:color="auto"/>
      </w:divBdr>
    </w:div>
    <w:div w:id="1405687538">
      <w:bodyDiv w:val="1"/>
      <w:marLeft w:val="0"/>
      <w:marRight w:val="0"/>
      <w:marTop w:val="0"/>
      <w:marBottom w:val="0"/>
      <w:divBdr>
        <w:top w:val="none" w:sz="0" w:space="0" w:color="auto"/>
        <w:left w:val="none" w:sz="0" w:space="0" w:color="auto"/>
        <w:bottom w:val="none" w:sz="0" w:space="0" w:color="auto"/>
        <w:right w:val="none" w:sz="0" w:space="0" w:color="auto"/>
      </w:divBdr>
    </w:div>
    <w:div w:id="1422683442">
      <w:bodyDiv w:val="1"/>
      <w:marLeft w:val="0"/>
      <w:marRight w:val="0"/>
      <w:marTop w:val="0"/>
      <w:marBottom w:val="0"/>
      <w:divBdr>
        <w:top w:val="none" w:sz="0" w:space="0" w:color="auto"/>
        <w:left w:val="none" w:sz="0" w:space="0" w:color="auto"/>
        <w:bottom w:val="none" w:sz="0" w:space="0" w:color="auto"/>
        <w:right w:val="none" w:sz="0" w:space="0" w:color="auto"/>
      </w:divBdr>
    </w:div>
    <w:div w:id="1428307911">
      <w:bodyDiv w:val="1"/>
      <w:marLeft w:val="0"/>
      <w:marRight w:val="0"/>
      <w:marTop w:val="0"/>
      <w:marBottom w:val="0"/>
      <w:divBdr>
        <w:top w:val="none" w:sz="0" w:space="0" w:color="auto"/>
        <w:left w:val="none" w:sz="0" w:space="0" w:color="auto"/>
        <w:bottom w:val="none" w:sz="0" w:space="0" w:color="auto"/>
        <w:right w:val="none" w:sz="0" w:space="0" w:color="auto"/>
      </w:divBdr>
    </w:div>
    <w:div w:id="1430588311">
      <w:bodyDiv w:val="1"/>
      <w:marLeft w:val="0"/>
      <w:marRight w:val="0"/>
      <w:marTop w:val="0"/>
      <w:marBottom w:val="0"/>
      <w:divBdr>
        <w:top w:val="none" w:sz="0" w:space="0" w:color="auto"/>
        <w:left w:val="none" w:sz="0" w:space="0" w:color="auto"/>
        <w:bottom w:val="none" w:sz="0" w:space="0" w:color="auto"/>
        <w:right w:val="none" w:sz="0" w:space="0" w:color="auto"/>
      </w:divBdr>
    </w:div>
    <w:div w:id="1442073120">
      <w:bodyDiv w:val="1"/>
      <w:marLeft w:val="0"/>
      <w:marRight w:val="0"/>
      <w:marTop w:val="0"/>
      <w:marBottom w:val="0"/>
      <w:divBdr>
        <w:top w:val="none" w:sz="0" w:space="0" w:color="auto"/>
        <w:left w:val="none" w:sz="0" w:space="0" w:color="auto"/>
        <w:bottom w:val="none" w:sz="0" w:space="0" w:color="auto"/>
        <w:right w:val="none" w:sz="0" w:space="0" w:color="auto"/>
      </w:divBdr>
    </w:div>
    <w:div w:id="1446189074">
      <w:bodyDiv w:val="1"/>
      <w:marLeft w:val="0"/>
      <w:marRight w:val="0"/>
      <w:marTop w:val="0"/>
      <w:marBottom w:val="0"/>
      <w:divBdr>
        <w:top w:val="none" w:sz="0" w:space="0" w:color="auto"/>
        <w:left w:val="none" w:sz="0" w:space="0" w:color="auto"/>
        <w:bottom w:val="none" w:sz="0" w:space="0" w:color="auto"/>
        <w:right w:val="none" w:sz="0" w:space="0" w:color="auto"/>
      </w:divBdr>
    </w:div>
    <w:div w:id="1447654863">
      <w:bodyDiv w:val="1"/>
      <w:marLeft w:val="0"/>
      <w:marRight w:val="0"/>
      <w:marTop w:val="0"/>
      <w:marBottom w:val="0"/>
      <w:divBdr>
        <w:top w:val="none" w:sz="0" w:space="0" w:color="auto"/>
        <w:left w:val="none" w:sz="0" w:space="0" w:color="auto"/>
        <w:bottom w:val="none" w:sz="0" w:space="0" w:color="auto"/>
        <w:right w:val="none" w:sz="0" w:space="0" w:color="auto"/>
      </w:divBdr>
    </w:div>
    <w:div w:id="1447771584">
      <w:bodyDiv w:val="1"/>
      <w:marLeft w:val="0"/>
      <w:marRight w:val="0"/>
      <w:marTop w:val="0"/>
      <w:marBottom w:val="0"/>
      <w:divBdr>
        <w:top w:val="none" w:sz="0" w:space="0" w:color="auto"/>
        <w:left w:val="none" w:sz="0" w:space="0" w:color="auto"/>
        <w:bottom w:val="none" w:sz="0" w:space="0" w:color="auto"/>
        <w:right w:val="none" w:sz="0" w:space="0" w:color="auto"/>
      </w:divBdr>
    </w:div>
    <w:div w:id="1453136820">
      <w:bodyDiv w:val="1"/>
      <w:marLeft w:val="0"/>
      <w:marRight w:val="0"/>
      <w:marTop w:val="0"/>
      <w:marBottom w:val="0"/>
      <w:divBdr>
        <w:top w:val="none" w:sz="0" w:space="0" w:color="auto"/>
        <w:left w:val="none" w:sz="0" w:space="0" w:color="auto"/>
        <w:bottom w:val="none" w:sz="0" w:space="0" w:color="auto"/>
        <w:right w:val="none" w:sz="0" w:space="0" w:color="auto"/>
      </w:divBdr>
    </w:div>
    <w:div w:id="1461218796">
      <w:bodyDiv w:val="1"/>
      <w:marLeft w:val="0"/>
      <w:marRight w:val="0"/>
      <w:marTop w:val="0"/>
      <w:marBottom w:val="0"/>
      <w:divBdr>
        <w:top w:val="none" w:sz="0" w:space="0" w:color="auto"/>
        <w:left w:val="none" w:sz="0" w:space="0" w:color="auto"/>
        <w:bottom w:val="none" w:sz="0" w:space="0" w:color="auto"/>
        <w:right w:val="none" w:sz="0" w:space="0" w:color="auto"/>
      </w:divBdr>
    </w:div>
    <w:div w:id="1483085336">
      <w:bodyDiv w:val="1"/>
      <w:marLeft w:val="0"/>
      <w:marRight w:val="0"/>
      <w:marTop w:val="0"/>
      <w:marBottom w:val="0"/>
      <w:divBdr>
        <w:top w:val="none" w:sz="0" w:space="0" w:color="auto"/>
        <w:left w:val="none" w:sz="0" w:space="0" w:color="auto"/>
        <w:bottom w:val="none" w:sz="0" w:space="0" w:color="auto"/>
        <w:right w:val="none" w:sz="0" w:space="0" w:color="auto"/>
      </w:divBdr>
    </w:div>
    <w:div w:id="1492063430">
      <w:bodyDiv w:val="1"/>
      <w:marLeft w:val="0"/>
      <w:marRight w:val="0"/>
      <w:marTop w:val="0"/>
      <w:marBottom w:val="0"/>
      <w:divBdr>
        <w:top w:val="none" w:sz="0" w:space="0" w:color="auto"/>
        <w:left w:val="none" w:sz="0" w:space="0" w:color="auto"/>
        <w:bottom w:val="none" w:sz="0" w:space="0" w:color="auto"/>
        <w:right w:val="none" w:sz="0" w:space="0" w:color="auto"/>
      </w:divBdr>
    </w:div>
    <w:div w:id="1496385458">
      <w:bodyDiv w:val="1"/>
      <w:marLeft w:val="0"/>
      <w:marRight w:val="0"/>
      <w:marTop w:val="0"/>
      <w:marBottom w:val="0"/>
      <w:divBdr>
        <w:top w:val="none" w:sz="0" w:space="0" w:color="auto"/>
        <w:left w:val="none" w:sz="0" w:space="0" w:color="auto"/>
        <w:bottom w:val="none" w:sz="0" w:space="0" w:color="auto"/>
        <w:right w:val="none" w:sz="0" w:space="0" w:color="auto"/>
      </w:divBdr>
    </w:div>
    <w:div w:id="1498572371">
      <w:bodyDiv w:val="1"/>
      <w:marLeft w:val="0"/>
      <w:marRight w:val="0"/>
      <w:marTop w:val="0"/>
      <w:marBottom w:val="0"/>
      <w:divBdr>
        <w:top w:val="none" w:sz="0" w:space="0" w:color="auto"/>
        <w:left w:val="none" w:sz="0" w:space="0" w:color="auto"/>
        <w:bottom w:val="none" w:sz="0" w:space="0" w:color="auto"/>
        <w:right w:val="none" w:sz="0" w:space="0" w:color="auto"/>
      </w:divBdr>
    </w:div>
    <w:div w:id="1514104461">
      <w:bodyDiv w:val="1"/>
      <w:marLeft w:val="0"/>
      <w:marRight w:val="0"/>
      <w:marTop w:val="0"/>
      <w:marBottom w:val="0"/>
      <w:divBdr>
        <w:top w:val="none" w:sz="0" w:space="0" w:color="auto"/>
        <w:left w:val="none" w:sz="0" w:space="0" w:color="auto"/>
        <w:bottom w:val="none" w:sz="0" w:space="0" w:color="auto"/>
        <w:right w:val="none" w:sz="0" w:space="0" w:color="auto"/>
      </w:divBdr>
    </w:div>
    <w:div w:id="1514109782">
      <w:bodyDiv w:val="1"/>
      <w:marLeft w:val="0"/>
      <w:marRight w:val="0"/>
      <w:marTop w:val="0"/>
      <w:marBottom w:val="0"/>
      <w:divBdr>
        <w:top w:val="none" w:sz="0" w:space="0" w:color="auto"/>
        <w:left w:val="none" w:sz="0" w:space="0" w:color="auto"/>
        <w:bottom w:val="none" w:sz="0" w:space="0" w:color="auto"/>
        <w:right w:val="none" w:sz="0" w:space="0" w:color="auto"/>
      </w:divBdr>
      <w:divsChild>
        <w:div w:id="1252278802">
          <w:marLeft w:val="0"/>
          <w:marRight w:val="0"/>
          <w:marTop w:val="0"/>
          <w:marBottom w:val="0"/>
          <w:divBdr>
            <w:top w:val="none" w:sz="0" w:space="0" w:color="auto"/>
            <w:left w:val="none" w:sz="0" w:space="0" w:color="auto"/>
            <w:bottom w:val="none" w:sz="0" w:space="0" w:color="auto"/>
            <w:right w:val="none" w:sz="0" w:space="0" w:color="auto"/>
          </w:divBdr>
          <w:divsChild>
            <w:div w:id="7945259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27521985">
      <w:bodyDiv w:val="1"/>
      <w:marLeft w:val="0"/>
      <w:marRight w:val="0"/>
      <w:marTop w:val="0"/>
      <w:marBottom w:val="0"/>
      <w:divBdr>
        <w:top w:val="none" w:sz="0" w:space="0" w:color="auto"/>
        <w:left w:val="none" w:sz="0" w:space="0" w:color="auto"/>
        <w:bottom w:val="none" w:sz="0" w:space="0" w:color="auto"/>
        <w:right w:val="none" w:sz="0" w:space="0" w:color="auto"/>
      </w:divBdr>
    </w:div>
    <w:div w:id="1528788108">
      <w:bodyDiv w:val="1"/>
      <w:marLeft w:val="0"/>
      <w:marRight w:val="0"/>
      <w:marTop w:val="0"/>
      <w:marBottom w:val="0"/>
      <w:divBdr>
        <w:top w:val="none" w:sz="0" w:space="0" w:color="auto"/>
        <w:left w:val="none" w:sz="0" w:space="0" w:color="auto"/>
        <w:bottom w:val="none" w:sz="0" w:space="0" w:color="auto"/>
        <w:right w:val="none" w:sz="0" w:space="0" w:color="auto"/>
      </w:divBdr>
    </w:div>
    <w:div w:id="1529641171">
      <w:bodyDiv w:val="1"/>
      <w:marLeft w:val="0"/>
      <w:marRight w:val="0"/>
      <w:marTop w:val="0"/>
      <w:marBottom w:val="0"/>
      <w:divBdr>
        <w:top w:val="none" w:sz="0" w:space="0" w:color="auto"/>
        <w:left w:val="none" w:sz="0" w:space="0" w:color="auto"/>
        <w:bottom w:val="none" w:sz="0" w:space="0" w:color="auto"/>
        <w:right w:val="none" w:sz="0" w:space="0" w:color="auto"/>
      </w:divBdr>
    </w:div>
    <w:div w:id="1541742334">
      <w:bodyDiv w:val="1"/>
      <w:marLeft w:val="0"/>
      <w:marRight w:val="0"/>
      <w:marTop w:val="0"/>
      <w:marBottom w:val="0"/>
      <w:divBdr>
        <w:top w:val="none" w:sz="0" w:space="0" w:color="auto"/>
        <w:left w:val="none" w:sz="0" w:space="0" w:color="auto"/>
        <w:bottom w:val="none" w:sz="0" w:space="0" w:color="auto"/>
        <w:right w:val="none" w:sz="0" w:space="0" w:color="auto"/>
      </w:divBdr>
    </w:div>
    <w:div w:id="1545486356">
      <w:bodyDiv w:val="1"/>
      <w:marLeft w:val="0"/>
      <w:marRight w:val="0"/>
      <w:marTop w:val="0"/>
      <w:marBottom w:val="0"/>
      <w:divBdr>
        <w:top w:val="none" w:sz="0" w:space="0" w:color="auto"/>
        <w:left w:val="none" w:sz="0" w:space="0" w:color="auto"/>
        <w:bottom w:val="none" w:sz="0" w:space="0" w:color="auto"/>
        <w:right w:val="none" w:sz="0" w:space="0" w:color="auto"/>
      </w:divBdr>
    </w:div>
    <w:div w:id="1554197869">
      <w:bodyDiv w:val="1"/>
      <w:marLeft w:val="0"/>
      <w:marRight w:val="0"/>
      <w:marTop w:val="0"/>
      <w:marBottom w:val="0"/>
      <w:divBdr>
        <w:top w:val="none" w:sz="0" w:space="0" w:color="auto"/>
        <w:left w:val="none" w:sz="0" w:space="0" w:color="auto"/>
        <w:bottom w:val="none" w:sz="0" w:space="0" w:color="auto"/>
        <w:right w:val="none" w:sz="0" w:space="0" w:color="auto"/>
      </w:divBdr>
    </w:div>
    <w:div w:id="1555042321">
      <w:bodyDiv w:val="1"/>
      <w:marLeft w:val="0"/>
      <w:marRight w:val="0"/>
      <w:marTop w:val="0"/>
      <w:marBottom w:val="0"/>
      <w:divBdr>
        <w:top w:val="none" w:sz="0" w:space="0" w:color="auto"/>
        <w:left w:val="none" w:sz="0" w:space="0" w:color="auto"/>
        <w:bottom w:val="none" w:sz="0" w:space="0" w:color="auto"/>
        <w:right w:val="none" w:sz="0" w:space="0" w:color="auto"/>
      </w:divBdr>
    </w:div>
    <w:div w:id="1555699141">
      <w:bodyDiv w:val="1"/>
      <w:marLeft w:val="0"/>
      <w:marRight w:val="0"/>
      <w:marTop w:val="0"/>
      <w:marBottom w:val="0"/>
      <w:divBdr>
        <w:top w:val="none" w:sz="0" w:space="0" w:color="auto"/>
        <w:left w:val="none" w:sz="0" w:space="0" w:color="auto"/>
        <w:bottom w:val="none" w:sz="0" w:space="0" w:color="auto"/>
        <w:right w:val="none" w:sz="0" w:space="0" w:color="auto"/>
      </w:divBdr>
    </w:div>
    <w:div w:id="1556308018">
      <w:bodyDiv w:val="1"/>
      <w:marLeft w:val="0"/>
      <w:marRight w:val="0"/>
      <w:marTop w:val="0"/>
      <w:marBottom w:val="0"/>
      <w:divBdr>
        <w:top w:val="none" w:sz="0" w:space="0" w:color="auto"/>
        <w:left w:val="none" w:sz="0" w:space="0" w:color="auto"/>
        <w:bottom w:val="none" w:sz="0" w:space="0" w:color="auto"/>
        <w:right w:val="none" w:sz="0" w:space="0" w:color="auto"/>
      </w:divBdr>
    </w:div>
    <w:div w:id="1557547150">
      <w:bodyDiv w:val="1"/>
      <w:marLeft w:val="0"/>
      <w:marRight w:val="0"/>
      <w:marTop w:val="0"/>
      <w:marBottom w:val="0"/>
      <w:divBdr>
        <w:top w:val="none" w:sz="0" w:space="0" w:color="auto"/>
        <w:left w:val="none" w:sz="0" w:space="0" w:color="auto"/>
        <w:bottom w:val="none" w:sz="0" w:space="0" w:color="auto"/>
        <w:right w:val="none" w:sz="0" w:space="0" w:color="auto"/>
      </w:divBdr>
    </w:div>
    <w:div w:id="1570340253">
      <w:bodyDiv w:val="1"/>
      <w:marLeft w:val="0"/>
      <w:marRight w:val="0"/>
      <w:marTop w:val="0"/>
      <w:marBottom w:val="0"/>
      <w:divBdr>
        <w:top w:val="none" w:sz="0" w:space="0" w:color="auto"/>
        <w:left w:val="none" w:sz="0" w:space="0" w:color="auto"/>
        <w:bottom w:val="none" w:sz="0" w:space="0" w:color="auto"/>
        <w:right w:val="none" w:sz="0" w:space="0" w:color="auto"/>
      </w:divBdr>
    </w:div>
    <w:div w:id="1571379168">
      <w:bodyDiv w:val="1"/>
      <w:marLeft w:val="0"/>
      <w:marRight w:val="0"/>
      <w:marTop w:val="0"/>
      <w:marBottom w:val="0"/>
      <w:divBdr>
        <w:top w:val="none" w:sz="0" w:space="0" w:color="auto"/>
        <w:left w:val="none" w:sz="0" w:space="0" w:color="auto"/>
        <w:bottom w:val="none" w:sz="0" w:space="0" w:color="auto"/>
        <w:right w:val="none" w:sz="0" w:space="0" w:color="auto"/>
      </w:divBdr>
    </w:div>
    <w:div w:id="1575623283">
      <w:bodyDiv w:val="1"/>
      <w:marLeft w:val="0"/>
      <w:marRight w:val="0"/>
      <w:marTop w:val="0"/>
      <w:marBottom w:val="0"/>
      <w:divBdr>
        <w:top w:val="none" w:sz="0" w:space="0" w:color="auto"/>
        <w:left w:val="none" w:sz="0" w:space="0" w:color="auto"/>
        <w:bottom w:val="none" w:sz="0" w:space="0" w:color="auto"/>
        <w:right w:val="none" w:sz="0" w:space="0" w:color="auto"/>
      </w:divBdr>
    </w:div>
    <w:div w:id="1579636472">
      <w:bodyDiv w:val="1"/>
      <w:marLeft w:val="0"/>
      <w:marRight w:val="0"/>
      <w:marTop w:val="0"/>
      <w:marBottom w:val="0"/>
      <w:divBdr>
        <w:top w:val="none" w:sz="0" w:space="0" w:color="auto"/>
        <w:left w:val="none" w:sz="0" w:space="0" w:color="auto"/>
        <w:bottom w:val="none" w:sz="0" w:space="0" w:color="auto"/>
        <w:right w:val="none" w:sz="0" w:space="0" w:color="auto"/>
      </w:divBdr>
    </w:div>
    <w:div w:id="1591037491">
      <w:bodyDiv w:val="1"/>
      <w:marLeft w:val="0"/>
      <w:marRight w:val="0"/>
      <w:marTop w:val="0"/>
      <w:marBottom w:val="0"/>
      <w:divBdr>
        <w:top w:val="none" w:sz="0" w:space="0" w:color="auto"/>
        <w:left w:val="none" w:sz="0" w:space="0" w:color="auto"/>
        <w:bottom w:val="none" w:sz="0" w:space="0" w:color="auto"/>
        <w:right w:val="none" w:sz="0" w:space="0" w:color="auto"/>
      </w:divBdr>
    </w:div>
    <w:div w:id="1595673456">
      <w:bodyDiv w:val="1"/>
      <w:marLeft w:val="0"/>
      <w:marRight w:val="0"/>
      <w:marTop w:val="0"/>
      <w:marBottom w:val="0"/>
      <w:divBdr>
        <w:top w:val="none" w:sz="0" w:space="0" w:color="auto"/>
        <w:left w:val="none" w:sz="0" w:space="0" w:color="auto"/>
        <w:bottom w:val="none" w:sz="0" w:space="0" w:color="auto"/>
        <w:right w:val="none" w:sz="0" w:space="0" w:color="auto"/>
      </w:divBdr>
    </w:div>
    <w:div w:id="1607350771">
      <w:bodyDiv w:val="1"/>
      <w:marLeft w:val="0"/>
      <w:marRight w:val="0"/>
      <w:marTop w:val="0"/>
      <w:marBottom w:val="0"/>
      <w:divBdr>
        <w:top w:val="none" w:sz="0" w:space="0" w:color="auto"/>
        <w:left w:val="none" w:sz="0" w:space="0" w:color="auto"/>
        <w:bottom w:val="none" w:sz="0" w:space="0" w:color="auto"/>
        <w:right w:val="none" w:sz="0" w:space="0" w:color="auto"/>
      </w:divBdr>
    </w:div>
    <w:div w:id="1617833723">
      <w:bodyDiv w:val="1"/>
      <w:marLeft w:val="0"/>
      <w:marRight w:val="0"/>
      <w:marTop w:val="0"/>
      <w:marBottom w:val="0"/>
      <w:divBdr>
        <w:top w:val="none" w:sz="0" w:space="0" w:color="auto"/>
        <w:left w:val="none" w:sz="0" w:space="0" w:color="auto"/>
        <w:bottom w:val="none" w:sz="0" w:space="0" w:color="auto"/>
        <w:right w:val="none" w:sz="0" w:space="0" w:color="auto"/>
      </w:divBdr>
    </w:div>
    <w:div w:id="1619800364">
      <w:bodyDiv w:val="1"/>
      <w:marLeft w:val="0"/>
      <w:marRight w:val="0"/>
      <w:marTop w:val="0"/>
      <w:marBottom w:val="0"/>
      <w:divBdr>
        <w:top w:val="none" w:sz="0" w:space="0" w:color="auto"/>
        <w:left w:val="none" w:sz="0" w:space="0" w:color="auto"/>
        <w:bottom w:val="none" w:sz="0" w:space="0" w:color="auto"/>
        <w:right w:val="none" w:sz="0" w:space="0" w:color="auto"/>
      </w:divBdr>
    </w:div>
    <w:div w:id="1620070761">
      <w:bodyDiv w:val="1"/>
      <w:marLeft w:val="0"/>
      <w:marRight w:val="0"/>
      <w:marTop w:val="0"/>
      <w:marBottom w:val="0"/>
      <w:divBdr>
        <w:top w:val="none" w:sz="0" w:space="0" w:color="auto"/>
        <w:left w:val="none" w:sz="0" w:space="0" w:color="auto"/>
        <w:bottom w:val="none" w:sz="0" w:space="0" w:color="auto"/>
        <w:right w:val="none" w:sz="0" w:space="0" w:color="auto"/>
      </w:divBdr>
    </w:div>
    <w:div w:id="1622225551">
      <w:bodyDiv w:val="1"/>
      <w:marLeft w:val="0"/>
      <w:marRight w:val="0"/>
      <w:marTop w:val="0"/>
      <w:marBottom w:val="0"/>
      <w:divBdr>
        <w:top w:val="none" w:sz="0" w:space="0" w:color="auto"/>
        <w:left w:val="none" w:sz="0" w:space="0" w:color="auto"/>
        <w:bottom w:val="none" w:sz="0" w:space="0" w:color="auto"/>
        <w:right w:val="none" w:sz="0" w:space="0" w:color="auto"/>
      </w:divBdr>
    </w:div>
    <w:div w:id="1634558186">
      <w:bodyDiv w:val="1"/>
      <w:marLeft w:val="0"/>
      <w:marRight w:val="0"/>
      <w:marTop w:val="0"/>
      <w:marBottom w:val="0"/>
      <w:divBdr>
        <w:top w:val="none" w:sz="0" w:space="0" w:color="auto"/>
        <w:left w:val="none" w:sz="0" w:space="0" w:color="auto"/>
        <w:bottom w:val="none" w:sz="0" w:space="0" w:color="auto"/>
        <w:right w:val="none" w:sz="0" w:space="0" w:color="auto"/>
      </w:divBdr>
    </w:div>
    <w:div w:id="1637296243">
      <w:bodyDiv w:val="1"/>
      <w:marLeft w:val="0"/>
      <w:marRight w:val="0"/>
      <w:marTop w:val="0"/>
      <w:marBottom w:val="0"/>
      <w:divBdr>
        <w:top w:val="none" w:sz="0" w:space="0" w:color="auto"/>
        <w:left w:val="none" w:sz="0" w:space="0" w:color="auto"/>
        <w:bottom w:val="none" w:sz="0" w:space="0" w:color="auto"/>
        <w:right w:val="none" w:sz="0" w:space="0" w:color="auto"/>
      </w:divBdr>
    </w:div>
    <w:div w:id="1638955500">
      <w:bodyDiv w:val="1"/>
      <w:marLeft w:val="0"/>
      <w:marRight w:val="0"/>
      <w:marTop w:val="0"/>
      <w:marBottom w:val="0"/>
      <w:divBdr>
        <w:top w:val="none" w:sz="0" w:space="0" w:color="auto"/>
        <w:left w:val="none" w:sz="0" w:space="0" w:color="auto"/>
        <w:bottom w:val="none" w:sz="0" w:space="0" w:color="auto"/>
        <w:right w:val="none" w:sz="0" w:space="0" w:color="auto"/>
      </w:divBdr>
    </w:div>
    <w:div w:id="1644582445">
      <w:bodyDiv w:val="1"/>
      <w:marLeft w:val="0"/>
      <w:marRight w:val="0"/>
      <w:marTop w:val="0"/>
      <w:marBottom w:val="0"/>
      <w:divBdr>
        <w:top w:val="none" w:sz="0" w:space="0" w:color="auto"/>
        <w:left w:val="none" w:sz="0" w:space="0" w:color="auto"/>
        <w:bottom w:val="none" w:sz="0" w:space="0" w:color="auto"/>
        <w:right w:val="none" w:sz="0" w:space="0" w:color="auto"/>
      </w:divBdr>
    </w:div>
    <w:div w:id="1651641678">
      <w:bodyDiv w:val="1"/>
      <w:marLeft w:val="0"/>
      <w:marRight w:val="0"/>
      <w:marTop w:val="0"/>
      <w:marBottom w:val="0"/>
      <w:divBdr>
        <w:top w:val="none" w:sz="0" w:space="0" w:color="auto"/>
        <w:left w:val="none" w:sz="0" w:space="0" w:color="auto"/>
        <w:bottom w:val="none" w:sz="0" w:space="0" w:color="auto"/>
        <w:right w:val="none" w:sz="0" w:space="0" w:color="auto"/>
      </w:divBdr>
    </w:div>
    <w:div w:id="1653480062">
      <w:bodyDiv w:val="1"/>
      <w:marLeft w:val="0"/>
      <w:marRight w:val="0"/>
      <w:marTop w:val="0"/>
      <w:marBottom w:val="0"/>
      <w:divBdr>
        <w:top w:val="none" w:sz="0" w:space="0" w:color="auto"/>
        <w:left w:val="none" w:sz="0" w:space="0" w:color="auto"/>
        <w:bottom w:val="none" w:sz="0" w:space="0" w:color="auto"/>
        <w:right w:val="none" w:sz="0" w:space="0" w:color="auto"/>
      </w:divBdr>
    </w:div>
    <w:div w:id="1658920120">
      <w:bodyDiv w:val="1"/>
      <w:marLeft w:val="0"/>
      <w:marRight w:val="0"/>
      <w:marTop w:val="0"/>
      <w:marBottom w:val="0"/>
      <w:divBdr>
        <w:top w:val="none" w:sz="0" w:space="0" w:color="auto"/>
        <w:left w:val="none" w:sz="0" w:space="0" w:color="auto"/>
        <w:bottom w:val="none" w:sz="0" w:space="0" w:color="auto"/>
        <w:right w:val="none" w:sz="0" w:space="0" w:color="auto"/>
      </w:divBdr>
    </w:div>
    <w:div w:id="1672486948">
      <w:bodyDiv w:val="1"/>
      <w:marLeft w:val="0"/>
      <w:marRight w:val="0"/>
      <w:marTop w:val="0"/>
      <w:marBottom w:val="0"/>
      <w:divBdr>
        <w:top w:val="none" w:sz="0" w:space="0" w:color="auto"/>
        <w:left w:val="none" w:sz="0" w:space="0" w:color="auto"/>
        <w:bottom w:val="none" w:sz="0" w:space="0" w:color="auto"/>
        <w:right w:val="none" w:sz="0" w:space="0" w:color="auto"/>
      </w:divBdr>
    </w:div>
    <w:div w:id="1691302047">
      <w:bodyDiv w:val="1"/>
      <w:marLeft w:val="0"/>
      <w:marRight w:val="0"/>
      <w:marTop w:val="0"/>
      <w:marBottom w:val="0"/>
      <w:divBdr>
        <w:top w:val="none" w:sz="0" w:space="0" w:color="auto"/>
        <w:left w:val="none" w:sz="0" w:space="0" w:color="auto"/>
        <w:bottom w:val="none" w:sz="0" w:space="0" w:color="auto"/>
        <w:right w:val="none" w:sz="0" w:space="0" w:color="auto"/>
      </w:divBdr>
    </w:div>
    <w:div w:id="1697346941">
      <w:bodyDiv w:val="1"/>
      <w:marLeft w:val="0"/>
      <w:marRight w:val="0"/>
      <w:marTop w:val="0"/>
      <w:marBottom w:val="0"/>
      <w:divBdr>
        <w:top w:val="none" w:sz="0" w:space="0" w:color="auto"/>
        <w:left w:val="none" w:sz="0" w:space="0" w:color="auto"/>
        <w:bottom w:val="none" w:sz="0" w:space="0" w:color="auto"/>
        <w:right w:val="none" w:sz="0" w:space="0" w:color="auto"/>
      </w:divBdr>
    </w:div>
    <w:div w:id="1705909330">
      <w:bodyDiv w:val="1"/>
      <w:marLeft w:val="0"/>
      <w:marRight w:val="0"/>
      <w:marTop w:val="0"/>
      <w:marBottom w:val="0"/>
      <w:divBdr>
        <w:top w:val="none" w:sz="0" w:space="0" w:color="auto"/>
        <w:left w:val="none" w:sz="0" w:space="0" w:color="auto"/>
        <w:bottom w:val="none" w:sz="0" w:space="0" w:color="auto"/>
        <w:right w:val="none" w:sz="0" w:space="0" w:color="auto"/>
      </w:divBdr>
    </w:div>
    <w:div w:id="1729650146">
      <w:bodyDiv w:val="1"/>
      <w:marLeft w:val="0"/>
      <w:marRight w:val="0"/>
      <w:marTop w:val="0"/>
      <w:marBottom w:val="0"/>
      <w:divBdr>
        <w:top w:val="none" w:sz="0" w:space="0" w:color="auto"/>
        <w:left w:val="none" w:sz="0" w:space="0" w:color="auto"/>
        <w:bottom w:val="none" w:sz="0" w:space="0" w:color="auto"/>
        <w:right w:val="none" w:sz="0" w:space="0" w:color="auto"/>
      </w:divBdr>
    </w:div>
    <w:div w:id="1734886597">
      <w:bodyDiv w:val="1"/>
      <w:marLeft w:val="0"/>
      <w:marRight w:val="0"/>
      <w:marTop w:val="0"/>
      <w:marBottom w:val="0"/>
      <w:divBdr>
        <w:top w:val="none" w:sz="0" w:space="0" w:color="auto"/>
        <w:left w:val="none" w:sz="0" w:space="0" w:color="auto"/>
        <w:bottom w:val="none" w:sz="0" w:space="0" w:color="auto"/>
        <w:right w:val="none" w:sz="0" w:space="0" w:color="auto"/>
      </w:divBdr>
    </w:div>
    <w:div w:id="1742482086">
      <w:bodyDiv w:val="1"/>
      <w:marLeft w:val="0"/>
      <w:marRight w:val="0"/>
      <w:marTop w:val="0"/>
      <w:marBottom w:val="0"/>
      <w:divBdr>
        <w:top w:val="none" w:sz="0" w:space="0" w:color="auto"/>
        <w:left w:val="none" w:sz="0" w:space="0" w:color="auto"/>
        <w:bottom w:val="none" w:sz="0" w:space="0" w:color="auto"/>
        <w:right w:val="none" w:sz="0" w:space="0" w:color="auto"/>
      </w:divBdr>
    </w:div>
    <w:div w:id="1743406708">
      <w:bodyDiv w:val="1"/>
      <w:marLeft w:val="0"/>
      <w:marRight w:val="0"/>
      <w:marTop w:val="0"/>
      <w:marBottom w:val="0"/>
      <w:divBdr>
        <w:top w:val="none" w:sz="0" w:space="0" w:color="auto"/>
        <w:left w:val="none" w:sz="0" w:space="0" w:color="auto"/>
        <w:bottom w:val="none" w:sz="0" w:space="0" w:color="auto"/>
        <w:right w:val="none" w:sz="0" w:space="0" w:color="auto"/>
      </w:divBdr>
    </w:div>
    <w:div w:id="1744180598">
      <w:bodyDiv w:val="1"/>
      <w:marLeft w:val="0"/>
      <w:marRight w:val="0"/>
      <w:marTop w:val="0"/>
      <w:marBottom w:val="0"/>
      <w:divBdr>
        <w:top w:val="none" w:sz="0" w:space="0" w:color="auto"/>
        <w:left w:val="none" w:sz="0" w:space="0" w:color="auto"/>
        <w:bottom w:val="none" w:sz="0" w:space="0" w:color="auto"/>
        <w:right w:val="none" w:sz="0" w:space="0" w:color="auto"/>
      </w:divBdr>
    </w:div>
    <w:div w:id="1761412365">
      <w:bodyDiv w:val="1"/>
      <w:marLeft w:val="0"/>
      <w:marRight w:val="0"/>
      <w:marTop w:val="0"/>
      <w:marBottom w:val="0"/>
      <w:divBdr>
        <w:top w:val="none" w:sz="0" w:space="0" w:color="auto"/>
        <w:left w:val="none" w:sz="0" w:space="0" w:color="auto"/>
        <w:bottom w:val="none" w:sz="0" w:space="0" w:color="auto"/>
        <w:right w:val="none" w:sz="0" w:space="0" w:color="auto"/>
      </w:divBdr>
      <w:divsChild>
        <w:div w:id="718282300">
          <w:marLeft w:val="0"/>
          <w:marRight w:val="0"/>
          <w:marTop w:val="0"/>
          <w:marBottom w:val="0"/>
          <w:divBdr>
            <w:top w:val="none" w:sz="0" w:space="0" w:color="auto"/>
            <w:left w:val="none" w:sz="0" w:space="0" w:color="auto"/>
            <w:bottom w:val="none" w:sz="0" w:space="0" w:color="auto"/>
            <w:right w:val="none" w:sz="0" w:space="0" w:color="auto"/>
          </w:divBdr>
          <w:divsChild>
            <w:div w:id="128438614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63716144">
      <w:bodyDiv w:val="1"/>
      <w:marLeft w:val="0"/>
      <w:marRight w:val="0"/>
      <w:marTop w:val="0"/>
      <w:marBottom w:val="0"/>
      <w:divBdr>
        <w:top w:val="none" w:sz="0" w:space="0" w:color="auto"/>
        <w:left w:val="none" w:sz="0" w:space="0" w:color="auto"/>
        <w:bottom w:val="none" w:sz="0" w:space="0" w:color="auto"/>
        <w:right w:val="none" w:sz="0" w:space="0" w:color="auto"/>
      </w:divBdr>
    </w:div>
    <w:div w:id="1765035036">
      <w:bodyDiv w:val="1"/>
      <w:marLeft w:val="0"/>
      <w:marRight w:val="0"/>
      <w:marTop w:val="0"/>
      <w:marBottom w:val="0"/>
      <w:divBdr>
        <w:top w:val="none" w:sz="0" w:space="0" w:color="auto"/>
        <w:left w:val="none" w:sz="0" w:space="0" w:color="auto"/>
        <w:bottom w:val="none" w:sz="0" w:space="0" w:color="auto"/>
        <w:right w:val="none" w:sz="0" w:space="0" w:color="auto"/>
      </w:divBdr>
    </w:div>
    <w:div w:id="1765109671">
      <w:bodyDiv w:val="1"/>
      <w:marLeft w:val="0"/>
      <w:marRight w:val="0"/>
      <w:marTop w:val="0"/>
      <w:marBottom w:val="0"/>
      <w:divBdr>
        <w:top w:val="none" w:sz="0" w:space="0" w:color="auto"/>
        <w:left w:val="none" w:sz="0" w:space="0" w:color="auto"/>
        <w:bottom w:val="none" w:sz="0" w:space="0" w:color="auto"/>
        <w:right w:val="none" w:sz="0" w:space="0" w:color="auto"/>
      </w:divBdr>
    </w:div>
    <w:div w:id="1765687891">
      <w:bodyDiv w:val="1"/>
      <w:marLeft w:val="0"/>
      <w:marRight w:val="0"/>
      <w:marTop w:val="0"/>
      <w:marBottom w:val="0"/>
      <w:divBdr>
        <w:top w:val="none" w:sz="0" w:space="0" w:color="auto"/>
        <w:left w:val="none" w:sz="0" w:space="0" w:color="auto"/>
        <w:bottom w:val="none" w:sz="0" w:space="0" w:color="auto"/>
        <w:right w:val="none" w:sz="0" w:space="0" w:color="auto"/>
      </w:divBdr>
    </w:div>
    <w:div w:id="1772240684">
      <w:bodyDiv w:val="1"/>
      <w:marLeft w:val="0"/>
      <w:marRight w:val="0"/>
      <w:marTop w:val="0"/>
      <w:marBottom w:val="0"/>
      <w:divBdr>
        <w:top w:val="none" w:sz="0" w:space="0" w:color="auto"/>
        <w:left w:val="none" w:sz="0" w:space="0" w:color="auto"/>
        <w:bottom w:val="none" w:sz="0" w:space="0" w:color="auto"/>
        <w:right w:val="none" w:sz="0" w:space="0" w:color="auto"/>
      </w:divBdr>
    </w:div>
    <w:div w:id="1773208346">
      <w:bodyDiv w:val="1"/>
      <w:marLeft w:val="0"/>
      <w:marRight w:val="0"/>
      <w:marTop w:val="0"/>
      <w:marBottom w:val="0"/>
      <w:divBdr>
        <w:top w:val="none" w:sz="0" w:space="0" w:color="auto"/>
        <w:left w:val="none" w:sz="0" w:space="0" w:color="auto"/>
        <w:bottom w:val="none" w:sz="0" w:space="0" w:color="auto"/>
        <w:right w:val="none" w:sz="0" w:space="0" w:color="auto"/>
      </w:divBdr>
    </w:div>
    <w:div w:id="1791320474">
      <w:bodyDiv w:val="1"/>
      <w:marLeft w:val="0"/>
      <w:marRight w:val="0"/>
      <w:marTop w:val="0"/>
      <w:marBottom w:val="0"/>
      <w:divBdr>
        <w:top w:val="none" w:sz="0" w:space="0" w:color="auto"/>
        <w:left w:val="none" w:sz="0" w:space="0" w:color="auto"/>
        <w:bottom w:val="none" w:sz="0" w:space="0" w:color="auto"/>
        <w:right w:val="none" w:sz="0" w:space="0" w:color="auto"/>
      </w:divBdr>
    </w:div>
    <w:div w:id="1794012819">
      <w:bodyDiv w:val="1"/>
      <w:marLeft w:val="0"/>
      <w:marRight w:val="0"/>
      <w:marTop w:val="0"/>
      <w:marBottom w:val="0"/>
      <w:divBdr>
        <w:top w:val="none" w:sz="0" w:space="0" w:color="auto"/>
        <w:left w:val="none" w:sz="0" w:space="0" w:color="auto"/>
        <w:bottom w:val="none" w:sz="0" w:space="0" w:color="auto"/>
        <w:right w:val="none" w:sz="0" w:space="0" w:color="auto"/>
      </w:divBdr>
    </w:div>
    <w:div w:id="1802384057">
      <w:bodyDiv w:val="1"/>
      <w:marLeft w:val="0"/>
      <w:marRight w:val="0"/>
      <w:marTop w:val="0"/>
      <w:marBottom w:val="0"/>
      <w:divBdr>
        <w:top w:val="none" w:sz="0" w:space="0" w:color="auto"/>
        <w:left w:val="none" w:sz="0" w:space="0" w:color="auto"/>
        <w:bottom w:val="none" w:sz="0" w:space="0" w:color="auto"/>
        <w:right w:val="none" w:sz="0" w:space="0" w:color="auto"/>
      </w:divBdr>
    </w:div>
    <w:div w:id="1802503112">
      <w:bodyDiv w:val="1"/>
      <w:marLeft w:val="0"/>
      <w:marRight w:val="0"/>
      <w:marTop w:val="0"/>
      <w:marBottom w:val="0"/>
      <w:divBdr>
        <w:top w:val="none" w:sz="0" w:space="0" w:color="auto"/>
        <w:left w:val="none" w:sz="0" w:space="0" w:color="auto"/>
        <w:bottom w:val="none" w:sz="0" w:space="0" w:color="auto"/>
        <w:right w:val="none" w:sz="0" w:space="0" w:color="auto"/>
      </w:divBdr>
    </w:div>
    <w:div w:id="1819032078">
      <w:bodyDiv w:val="1"/>
      <w:marLeft w:val="0"/>
      <w:marRight w:val="0"/>
      <w:marTop w:val="0"/>
      <w:marBottom w:val="0"/>
      <w:divBdr>
        <w:top w:val="none" w:sz="0" w:space="0" w:color="auto"/>
        <w:left w:val="none" w:sz="0" w:space="0" w:color="auto"/>
        <w:bottom w:val="none" w:sz="0" w:space="0" w:color="auto"/>
        <w:right w:val="none" w:sz="0" w:space="0" w:color="auto"/>
      </w:divBdr>
    </w:div>
    <w:div w:id="1823961911">
      <w:bodyDiv w:val="1"/>
      <w:marLeft w:val="0"/>
      <w:marRight w:val="0"/>
      <w:marTop w:val="0"/>
      <w:marBottom w:val="0"/>
      <w:divBdr>
        <w:top w:val="none" w:sz="0" w:space="0" w:color="auto"/>
        <w:left w:val="none" w:sz="0" w:space="0" w:color="auto"/>
        <w:bottom w:val="none" w:sz="0" w:space="0" w:color="auto"/>
        <w:right w:val="none" w:sz="0" w:space="0" w:color="auto"/>
      </w:divBdr>
    </w:div>
    <w:div w:id="1841921253">
      <w:bodyDiv w:val="1"/>
      <w:marLeft w:val="0"/>
      <w:marRight w:val="0"/>
      <w:marTop w:val="0"/>
      <w:marBottom w:val="0"/>
      <w:divBdr>
        <w:top w:val="none" w:sz="0" w:space="0" w:color="auto"/>
        <w:left w:val="none" w:sz="0" w:space="0" w:color="auto"/>
        <w:bottom w:val="none" w:sz="0" w:space="0" w:color="auto"/>
        <w:right w:val="none" w:sz="0" w:space="0" w:color="auto"/>
      </w:divBdr>
    </w:div>
    <w:div w:id="1854954829">
      <w:bodyDiv w:val="1"/>
      <w:marLeft w:val="0"/>
      <w:marRight w:val="0"/>
      <w:marTop w:val="0"/>
      <w:marBottom w:val="0"/>
      <w:divBdr>
        <w:top w:val="none" w:sz="0" w:space="0" w:color="auto"/>
        <w:left w:val="none" w:sz="0" w:space="0" w:color="auto"/>
        <w:bottom w:val="none" w:sz="0" w:space="0" w:color="auto"/>
        <w:right w:val="none" w:sz="0" w:space="0" w:color="auto"/>
      </w:divBdr>
    </w:div>
    <w:div w:id="1856840479">
      <w:bodyDiv w:val="1"/>
      <w:marLeft w:val="0"/>
      <w:marRight w:val="0"/>
      <w:marTop w:val="0"/>
      <w:marBottom w:val="0"/>
      <w:divBdr>
        <w:top w:val="none" w:sz="0" w:space="0" w:color="auto"/>
        <w:left w:val="none" w:sz="0" w:space="0" w:color="auto"/>
        <w:bottom w:val="none" w:sz="0" w:space="0" w:color="auto"/>
        <w:right w:val="none" w:sz="0" w:space="0" w:color="auto"/>
      </w:divBdr>
    </w:div>
    <w:div w:id="1891108758">
      <w:bodyDiv w:val="1"/>
      <w:marLeft w:val="0"/>
      <w:marRight w:val="0"/>
      <w:marTop w:val="0"/>
      <w:marBottom w:val="0"/>
      <w:divBdr>
        <w:top w:val="none" w:sz="0" w:space="0" w:color="auto"/>
        <w:left w:val="none" w:sz="0" w:space="0" w:color="auto"/>
        <w:bottom w:val="none" w:sz="0" w:space="0" w:color="auto"/>
        <w:right w:val="none" w:sz="0" w:space="0" w:color="auto"/>
      </w:divBdr>
    </w:div>
    <w:div w:id="1899853580">
      <w:bodyDiv w:val="1"/>
      <w:marLeft w:val="0"/>
      <w:marRight w:val="0"/>
      <w:marTop w:val="0"/>
      <w:marBottom w:val="0"/>
      <w:divBdr>
        <w:top w:val="none" w:sz="0" w:space="0" w:color="auto"/>
        <w:left w:val="none" w:sz="0" w:space="0" w:color="auto"/>
        <w:bottom w:val="none" w:sz="0" w:space="0" w:color="auto"/>
        <w:right w:val="none" w:sz="0" w:space="0" w:color="auto"/>
      </w:divBdr>
    </w:div>
    <w:div w:id="1913468792">
      <w:bodyDiv w:val="1"/>
      <w:marLeft w:val="0"/>
      <w:marRight w:val="0"/>
      <w:marTop w:val="0"/>
      <w:marBottom w:val="0"/>
      <w:divBdr>
        <w:top w:val="none" w:sz="0" w:space="0" w:color="auto"/>
        <w:left w:val="none" w:sz="0" w:space="0" w:color="auto"/>
        <w:bottom w:val="none" w:sz="0" w:space="0" w:color="auto"/>
        <w:right w:val="none" w:sz="0" w:space="0" w:color="auto"/>
      </w:divBdr>
    </w:div>
    <w:div w:id="1917086470">
      <w:bodyDiv w:val="1"/>
      <w:marLeft w:val="0"/>
      <w:marRight w:val="0"/>
      <w:marTop w:val="0"/>
      <w:marBottom w:val="0"/>
      <w:divBdr>
        <w:top w:val="none" w:sz="0" w:space="0" w:color="auto"/>
        <w:left w:val="none" w:sz="0" w:space="0" w:color="auto"/>
        <w:bottom w:val="none" w:sz="0" w:space="0" w:color="auto"/>
        <w:right w:val="none" w:sz="0" w:space="0" w:color="auto"/>
      </w:divBdr>
    </w:div>
    <w:div w:id="1923172357">
      <w:bodyDiv w:val="1"/>
      <w:marLeft w:val="0"/>
      <w:marRight w:val="0"/>
      <w:marTop w:val="0"/>
      <w:marBottom w:val="0"/>
      <w:divBdr>
        <w:top w:val="none" w:sz="0" w:space="0" w:color="auto"/>
        <w:left w:val="none" w:sz="0" w:space="0" w:color="auto"/>
        <w:bottom w:val="none" w:sz="0" w:space="0" w:color="auto"/>
        <w:right w:val="none" w:sz="0" w:space="0" w:color="auto"/>
      </w:divBdr>
    </w:div>
    <w:div w:id="1931087932">
      <w:bodyDiv w:val="1"/>
      <w:marLeft w:val="0"/>
      <w:marRight w:val="0"/>
      <w:marTop w:val="0"/>
      <w:marBottom w:val="0"/>
      <w:divBdr>
        <w:top w:val="none" w:sz="0" w:space="0" w:color="auto"/>
        <w:left w:val="none" w:sz="0" w:space="0" w:color="auto"/>
        <w:bottom w:val="none" w:sz="0" w:space="0" w:color="auto"/>
        <w:right w:val="none" w:sz="0" w:space="0" w:color="auto"/>
      </w:divBdr>
    </w:div>
    <w:div w:id="1939603918">
      <w:bodyDiv w:val="1"/>
      <w:marLeft w:val="0"/>
      <w:marRight w:val="0"/>
      <w:marTop w:val="0"/>
      <w:marBottom w:val="0"/>
      <w:divBdr>
        <w:top w:val="none" w:sz="0" w:space="0" w:color="auto"/>
        <w:left w:val="none" w:sz="0" w:space="0" w:color="auto"/>
        <w:bottom w:val="none" w:sz="0" w:space="0" w:color="auto"/>
        <w:right w:val="none" w:sz="0" w:space="0" w:color="auto"/>
      </w:divBdr>
    </w:div>
    <w:div w:id="1944872835">
      <w:bodyDiv w:val="1"/>
      <w:marLeft w:val="0"/>
      <w:marRight w:val="0"/>
      <w:marTop w:val="0"/>
      <w:marBottom w:val="0"/>
      <w:divBdr>
        <w:top w:val="none" w:sz="0" w:space="0" w:color="auto"/>
        <w:left w:val="none" w:sz="0" w:space="0" w:color="auto"/>
        <w:bottom w:val="none" w:sz="0" w:space="0" w:color="auto"/>
        <w:right w:val="none" w:sz="0" w:space="0" w:color="auto"/>
      </w:divBdr>
    </w:div>
    <w:div w:id="1947345397">
      <w:bodyDiv w:val="1"/>
      <w:marLeft w:val="0"/>
      <w:marRight w:val="0"/>
      <w:marTop w:val="0"/>
      <w:marBottom w:val="0"/>
      <w:divBdr>
        <w:top w:val="none" w:sz="0" w:space="0" w:color="auto"/>
        <w:left w:val="none" w:sz="0" w:space="0" w:color="auto"/>
        <w:bottom w:val="none" w:sz="0" w:space="0" w:color="auto"/>
        <w:right w:val="none" w:sz="0" w:space="0" w:color="auto"/>
      </w:divBdr>
    </w:div>
    <w:div w:id="1949199532">
      <w:bodyDiv w:val="1"/>
      <w:marLeft w:val="0"/>
      <w:marRight w:val="0"/>
      <w:marTop w:val="0"/>
      <w:marBottom w:val="0"/>
      <w:divBdr>
        <w:top w:val="none" w:sz="0" w:space="0" w:color="auto"/>
        <w:left w:val="none" w:sz="0" w:space="0" w:color="auto"/>
        <w:bottom w:val="none" w:sz="0" w:space="0" w:color="auto"/>
        <w:right w:val="none" w:sz="0" w:space="0" w:color="auto"/>
      </w:divBdr>
    </w:div>
    <w:div w:id="1958371026">
      <w:bodyDiv w:val="1"/>
      <w:marLeft w:val="0"/>
      <w:marRight w:val="0"/>
      <w:marTop w:val="0"/>
      <w:marBottom w:val="0"/>
      <w:divBdr>
        <w:top w:val="none" w:sz="0" w:space="0" w:color="auto"/>
        <w:left w:val="none" w:sz="0" w:space="0" w:color="auto"/>
        <w:bottom w:val="none" w:sz="0" w:space="0" w:color="auto"/>
        <w:right w:val="none" w:sz="0" w:space="0" w:color="auto"/>
      </w:divBdr>
    </w:div>
    <w:div w:id="1966426606">
      <w:bodyDiv w:val="1"/>
      <w:marLeft w:val="0"/>
      <w:marRight w:val="0"/>
      <w:marTop w:val="0"/>
      <w:marBottom w:val="0"/>
      <w:divBdr>
        <w:top w:val="none" w:sz="0" w:space="0" w:color="auto"/>
        <w:left w:val="none" w:sz="0" w:space="0" w:color="auto"/>
        <w:bottom w:val="none" w:sz="0" w:space="0" w:color="auto"/>
        <w:right w:val="none" w:sz="0" w:space="0" w:color="auto"/>
      </w:divBdr>
    </w:div>
    <w:div w:id="1967999331">
      <w:bodyDiv w:val="1"/>
      <w:marLeft w:val="0"/>
      <w:marRight w:val="0"/>
      <w:marTop w:val="0"/>
      <w:marBottom w:val="0"/>
      <w:divBdr>
        <w:top w:val="none" w:sz="0" w:space="0" w:color="auto"/>
        <w:left w:val="none" w:sz="0" w:space="0" w:color="auto"/>
        <w:bottom w:val="none" w:sz="0" w:space="0" w:color="auto"/>
        <w:right w:val="none" w:sz="0" w:space="0" w:color="auto"/>
      </w:divBdr>
    </w:div>
    <w:div w:id="1975062075">
      <w:bodyDiv w:val="1"/>
      <w:marLeft w:val="0"/>
      <w:marRight w:val="0"/>
      <w:marTop w:val="0"/>
      <w:marBottom w:val="0"/>
      <w:divBdr>
        <w:top w:val="none" w:sz="0" w:space="0" w:color="auto"/>
        <w:left w:val="none" w:sz="0" w:space="0" w:color="auto"/>
        <w:bottom w:val="none" w:sz="0" w:space="0" w:color="auto"/>
        <w:right w:val="none" w:sz="0" w:space="0" w:color="auto"/>
      </w:divBdr>
    </w:div>
    <w:div w:id="1980451797">
      <w:bodyDiv w:val="1"/>
      <w:marLeft w:val="0"/>
      <w:marRight w:val="0"/>
      <w:marTop w:val="0"/>
      <w:marBottom w:val="0"/>
      <w:divBdr>
        <w:top w:val="none" w:sz="0" w:space="0" w:color="auto"/>
        <w:left w:val="none" w:sz="0" w:space="0" w:color="auto"/>
        <w:bottom w:val="none" w:sz="0" w:space="0" w:color="auto"/>
        <w:right w:val="none" w:sz="0" w:space="0" w:color="auto"/>
      </w:divBdr>
    </w:div>
    <w:div w:id="2000769346">
      <w:bodyDiv w:val="1"/>
      <w:marLeft w:val="0"/>
      <w:marRight w:val="0"/>
      <w:marTop w:val="0"/>
      <w:marBottom w:val="0"/>
      <w:divBdr>
        <w:top w:val="none" w:sz="0" w:space="0" w:color="auto"/>
        <w:left w:val="none" w:sz="0" w:space="0" w:color="auto"/>
        <w:bottom w:val="none" w:sz="0" w:space="0" w:color="auto"/>
        <w:right w:val="none" w:sz="0" w:space="0" w:color="auto"/>
      </w:divBdr>
    </w:div>
    <w:div w:id="2011785486">
      <w:bodyDiv w:val="1"/>
      <w:marLeft w:val="0"/>
      <w:marRight w:val="0"/>
      <w:marTop w:val="0"/>
      <w:marBottom w:val="0"/>
      <w:divBdr>
        <w:top w:val="none" w:sz="0" w:space="0" w:color="auto"/>
        <w:left w:val="none" w:sz="0" w:space="0" w:color="auto"/>
        <w:bottom w:val="none" w:sz="0" w:space="0" w:color="auto"/>
        <w:right w:val="none" w:sz="0" w:space="0" w:color="auto"/>
      </w:divBdr>
    </w:div>
    <w:div w:id="2012483976">
      <w:bodyDiv w:val="1"/>
      <w:marLeft w:val="0"/>
      <w:marRight w:val="0"/>
      <w:marTop w:val="0"/>
      <w:marBottom w:val="0"/>
      <w:divBdr>
        <w:top w:val="none" w:sz="0" w:space="0" w:color="auto"/>
        <w:left w:val="none" w:sz="0" w:space="0" w:color="auto"/>
        <w:bottom w:val="none" w:sz="0" w:space="0" w:color="auto"/>
        <w:right w:val="none" w:sz="0" w:space="0" w:color="auto"/>
      </w:divBdr>
    </w:div>
    <w:div w:id="2013138527">
      <w:bodyDiv w:val="1"/>
      <w:marLeft w:val="0"/>
      <w:marRight w:val="0"/>
      <w:marTop w:val="0"/>
      <w:marBottom w:val="0"/>
      <w:divBdr>
        <w:top w:val="none" w:sz="0" w:space="0" w:color="auto"/>
        <w:left w:val="none" w:sz="0" w:space="0" w:color="auto"/>
        <w:bottom w:val="none" w:sz="0" w:space="0" w:color="auto"/>
        <w:right w:val="none" w:sz="0" w:space="0" w:color="auto"/>
      </w:divBdr>
    </w:div>
    <w:div w:id="2013289533">
      <w:bodyDiv w:val="1"/>
      <w:marLeft w:val="0"/>
      <w:marRight w:val="0"/>
      <w:marTop w:val="0"/>
      <w:marBottom w:val="0"/>
      <w:divBdr>
        <w:top w:val="none" w:sz="0" w:space="0" w:color="auto"/>
        <w:left w:val="none" w:sz="0" w:space="0" w:color="auto"/>
        <w:bottom w:val="none" w:sz="0" w:space="0" w:color="auto"/>
        <w:right w:val="none" w:sz="0" w:space="0" w:color="auto"/>
      </w:divBdr>
    </w:div>
    <w:div w:id="2015374098">
      <w:bodyDiv w:val="1"/>
      <w:marLeft w:val="0"/>
      <w:marRight w:val="0"/>
      <w:marTop w:val="0"/>
      <w:marBottom w:val="0"/>
      <w:divBdr>
        <w:top w:val="none" w:sz="0" w:space="0" w:color="auto"/>
        <w:left w:val="none" w:sz="0" w:space="0" w:color="auto"/>
        <w:bottom w:val="none" w:sz="0" w:space="0" w:color="auto"/>
        <w:right w:val="none" w:sz="0" w:space="0" w:color="auto"/>
      </w:divBdr>
    </w:div>
    <w:div w:id="2019766961">
      <w:bodyDiv w:val="1"/>
      <w:marLeft w:val="0"/>
      <w:marRight w:val="0"/>
      <w:marTop w:val="0"/>
      <w:marBottom w:val="0"/>
      <w:divBdr>
        <w:top w:val="none" w:sz="0" w:space="0" w:color="auto"/>
        <w:left w:val="none" w:sz="0" w:space="0" w:color="auto"/>
        <w:bottom w:val="none" w:sz="0" w:space="0" w:color="auto"/>
        <w:right w:val="none" w:sz="0" w:space="0" w:color="auto"/>
      </w:divBdr>
    </w:div>
    <w:div w:id="2029938703">
      <w:bodyDiv w:val="1"/>
      <w:marLeft w:val="0"/>
      <w:marRight w:val="0"/>
      <w:marTop w:val="0"/>
      <w:marBottom w:val="0"/>
      <w:divBdr>
        <w:top w:val="none" w:sz="0" w:space="0" w:color="auto"/>
        <w:left w:val="none" w:sz="0" w:space="0" w:color="auto"/>
        <w:bottom w:val="none" w:sz="0" w:space="0" w:color="auto"/>
        <w:right w:val="none" w:sz="0" w:space="0" w:color="auto"/>
      </w:divBdr>
    </w:div>
    <w:div w:id="2034529668">
      <w:bodyDiv w:val="1"/>
      <w:marLeft w:val="0"/>
      <w:marRight w:val="0"/>
      <w:marTop w:val="0"/>
      <w:marBottom w:val="0"/>
      <w:divBdr>
        <w:top w:val="none" w:sz="0" w:space="0" w:color="auto"/>
        <w:left w:val="none" w:sz="0" w:space="0" w:color="auto"/>
        <w:bottom w:val="none" w:sz="0" w:space="0" w:color="auto"/>
        <w:right w:val="none" w:sz="0" w:space="0" w:color="auto"/>
      </w:divBdr>
    </w:div>
    <w:div w:id="2038308243">
      <w:bodyDiv w:val="1"/>
      <w:marLeft w:val="0"/>
      <w:marRight w:val="0"/>
      <w:marTop w:val="0"/>
      <w:marBottom w:val="0"/>
      <w:divBdr>
        <w:top w:val="none" w:sz="0" w:space="0" w:color="auto"/>
        <w:left w:val="none" w:sz="0" w:space="0" w:color="auto"/>
        <w:bottom w:val="none" w:sz="0" w:space="0" w:color="auto"/>
        <w:right w:val="none" w:sz="0" w:space="0" w:color="auto"/>
      </w:divBdr>
    </w:div>
    <w:div w:id="2047679482">
      <w:bodyDiv w:val="1"/>
      <w:marLeft w:val="0"/>
      <w:marRight w:val="0"/>
      <w:marTop w:val="0"/>
      <w:marBottom w:val="0"/>
      <w:divBdr>
        <w:top w:val="none" w:sz="0" w:space="0" w:color="auto"/>
        <w:left w:val="none" w:sz="0" w:space="0" w:color="auto"/>
        <w:bottom w:val="none" w:sz="0" w:space="0" w:color="auto"/>
        <w:right w:val="none" w:sz="0" w:space="0" w:color="auto"/>
      </w:divBdr>
    </w:div>
    <w:div w:id="2052417486">
      <w:bodyDiv w:val="1"/>
      <w:marLeft w:val="0"/>
      <w:marRight w:val="0"/>
      <w:marTop w:val="0"/>
      <w:marBottom w:val="0"/>
      <w:divBdr>
        <w:top w:val="none" w:sz="0" w:space="0" w:color="auto"/>
        <w:left w:val="none" w:sz="0" w:space="0" w:color="auto"/>
        <w:bottom w:val="none" w:sz="0" w:space="0" w:color="auto"/>
        <w:right w:val="none" w:sz="0" w:space="0" w:color="auto"/>
      </w:divBdr>
    </w:div>
    <w:div w:id="2067334942">
      <w:bodyDiv w:val="1"/>
      <w:marLeft w:val="0"/>
      <w:marRight w:val="0"/>
      <w:marTop w:val="0"/>
      <w:marBottom w:val="0"/>
      <w:divBdr>
        <w:top w:val="none" w:sz="0" w:space="0" w:color="auto"/>
        <w:left w:val="none" w:sz="0" w:space="0" w:color="auto"/>
        <w:bottom w:val="none" w:sz="0" w:space="0" w:color="auto"/>
        <w:right w:val="none" w:sz="0" w:space="0" w:color="auto"/>
      </w:divBdr>
    </w:div>
    <w:div w:id="2103141459">
      <w:bodyDiv w:val="1"/>
      <w:marLeft w:val="0"/>
      <w:marRight w:val="0"/>
      <w:marTop w:val="0"/>
      <w:marBottom w:val="0"/>
      <w:divBdr>
        <w:top w:val="none" w:sz="0" w:space="0" w:color="auto"/>
        <w:left w:val="none" w:sz="0" w:space="0" w:color="auto"/>
        <w:bottom w:val="none" w:sz="0" w:space="0" w:color="auto"/>
        <w:right w:val="none" w:sz="0" w:space="0" w:color="auto"/>
      </w:divBdr>
    </w:div>
    <w:div w:id="2104646763">
      <w:bodyDiv w:val="1"/>
      <w:marLeft w:val="0"/>
      <w:marRight w:val="0"/>
      <w:marTop w:val="0"/>
      <w:marBottom w:val="0"/>
      <w:divBdr>
        <w:top w:val="none" w:sz="0" w:space="0" w:color="auto"/>
        <w:left w:val="none" w:sz="0" w:space="0" w:color="auto"/>
        <w:bottom w:val="none" w:sz="0" w:space="0" w:color="auto"/>
        <w:right w:val="none" w:sz="0" w:space="0" w:color="auto"/>
      </w:divBdr>
    </w:div>
    <w:div w:id="2110539522">
      <w:bodyDiv w:val="1"/>
      <w:marLeft w:val="0"/>
      <w:marRight w:val="0"/>
      <w:marTop w:val="0"/>
      <w:marBottom w:val="0"/>
      <w:divBdr>
        <w:top w:val="none" w:sz="0" w:space="0" w:color="auto"/>
        <w:left w:val="none" w:sz="0" w:space="0" w:color="auto"/>
        <w:bottom w:val="none" w:sz="0" w:space="0" w:color="auto"/>
        <w:right w:val="none" w:sz="0" w:space="0" w:color="auto"/>
      </w:divBdr>
    </w:div>
    <w:div w:id="2113165606">
      <w:bodyDiv w:val="1"/>
      <w:marLeft w:val="0"/>
      <w:marRight w:val="0"/>
      <w:marTop w:val="0"/>
      <w:marBottom w:val="0"/>
      <w:divBdr>
        <w:top w:val="none" w:sz="0" w:space="0" w:color="auto"/>
        <w:left w:val="none" w:sz="0" w:space="0" w:color="auto"/>
        <w:bottom w:val="none" w:sz="0" w:space="0" w:color="auto"/>
        <w:right w:val="none" w:sz="0" w:space="0" w:color="auto"/>
      </w:divBdr>
    </w:div>
    <w:div w:id="2115007831">
      <w:bodyDiv w:val="1"/>
      <w:marLeft w:val="0"/>
      <w:marRight w:val="0"/>
      <w:marTop w:val="0"/>
      <w:marBottom w:val="0"/>
      <w:divBdr>
        <w:top w:val="none" w:sz="0" w:space="0" w:color="auto"/>
        <w:left w:val="none" w:sz="0" w:space="0" w:color="auto"/>
        <w:bottom w:val="none" w:sz="0" w:space="0" w:color="auto"/>
        <w:right w:val="none" w:sz="0" w:space="0" w:color="auto"/>
      </w:divBdr>
    </w:div>
    <w:div w:id="2123187926">
      <w:bodyDiv w:val="1"/>
      <w:marLeft w:val="0"/>
      <w:marRight w:val="0"/>
      <w:marTop w:val="0"/>
      <w:marBottom w:val="0"/>
      <w:divBdr>
        <w:top w:val="none" w:sz="0" w:space="0" w:color="auto"/>
        <w:left w:val="none" w:sz="0" w:space="0" w:color="auto"/>
        <w:bottom w:val="none" w:sz="0" w:space="0" w:color="auto"/>
        <w:right w:val="none" w:sz="0" w:space="0" w:color="auto"/>
      </w:divBdr>
    </w:div>
    <w:div w:id="2125339221">
      <w:bodyDiv w:val="1"/>
      <w:marLeft w:val="0"/>
      <w:marRight w:val="0"/>
      <w:marTop w:val="0"/>
      <w:marBottom w:val="0"/>
      <w:divBdr>
        <w:top w:val="none" w:sz="0" w:space="0" w:color="auto"/>
        <w:left w:val="none" w:sz="0" w:space="0" w:color="auto"/>
        <w:bottom w:val="none" w:sz="0" w:space="0" w:color="auto"/>
        <w:right w:val="none" w:sz="0" w:space="0" w:color="auto"/>
      </w:divBdr>
    </w:div>
    <w:div w:id="2127043984">
      <w:bodyDiv w:val="1"/>
      <w:marLeft w:val="0"/>
      <w:marRight w:val="0"/>
      <w:marTop w:val="0"/>
      <w:marBottom w:val="0"/>
      <w:divBdr>
        <w:top w:val="none" w:sz="0" w:space="0" w:color="auto"/>
        <w:left w:val="none" w:sz="0" w:space="0" w:color="auto"/>
        <w:bottom w:val="none" w:sz="0" w:space="0" w:color="auto"/>
        <w:right w:val="none" w:sz="0" w:space="0" w:color="auto"/>
      </w:divBdr>
    </w:div>
    <w:div w:id="2141337926">
      <w:bodyDiv w:val="1"/>
      <w:marLeft w:val="0"/>
      <w:marRight w:val="0"/>
      <w:marTop w:val="0"/>
      <w:marBottom w:val="0"/>
      <w:divBdr>
        <w:top w:val="none" w:sz="0" w:space="0" w:color="auto"/>
        <w:left w:val="none" w:sz="0" w:space="0" w:color="auto"/>
        <w:bottom w:val="none" w:sz="0" w:space="0" w:color="auto"/>
        <w:right w:val="none" w:sz="0" w:space="0" w:color="auto"/>
      </w:divBdr>
    </w:div>
    <w:div w:id="2144343390">
      <w:bodyDiv w:val="1"/>
      <w:marLeft w:val="0"/>
      <w:marRight w:val="0"/>
      <w:marTop w:val="0"/>
      <w:marBottom w:val="0"/>
      <w:divBdr>
        <w:top w:val="none" w:sz="0" w:space="0" w:color="auto"/>
        <w:left w:val="none" w:sz="0" w:space="0" w:color="auto"/>
        <w:bottom w:val="none" w:sz="0" w:space="0" w:color="auto"/>
        <w:right w:val="none" w:sz="0" w:space="0" w:color="auto"/>
      </w:divBdr>
    </w:div>
    <w:div w:id="214561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hyperlink" Target="https://www.youtube.com/watch?v=351iR0u5RhU" TargetMode="External"/><Relationship Id="rId68" Type="http://schemas.openxmlformats.org/officeDocument/2006/relationships/chart" Target="charts/chart54.xm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chart" Target="charts/chart57.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endnotes" Target="endnotes.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2.xml"/><Relationship Id="rId74" Type="http://schemas.openxmlformats.org/officeDocument/2006/relationships/chart" Target="charts/chart60.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chart" Target="charts/chart48.xml"/><Relationship Id="rId10" Type="http://schemas.openxmlformats.org/officeDocument/2006/relationships/footnotes" Target="footnotes.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4.emf"/><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1.xml"/><Relationship Id="rId73" Type="http://schemas.openxmlformats.org/officeDocument/2006/relationships/chart" Target="charts/chart5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0.xml"/><Relationship Id="rId69" Type="http://schemas.openxmlformats.org/officeDocument/2006/relationships/chart" Target="charts/chart55.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hart" Target="charts/chart38.xml"/><Relationship Id="rId72" Type="http://schemas.openxmlformats.org/officeDocument/2006/relationships/chart" Target="charts/chart58.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3.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chart" Target="charts/chart56.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8.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9.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100" baseline="0">
                <a:solidFill>
                  <a:srgbClr val="FF0000"/>
                </a:solidFill>
                <a:latin typeface="Calibri" pitchFamily="34" charset="0"/>
              </a:rPr>
              <a:t>Student Success Scorecard 2017</a:t>
            </a:r>
            <a:endParaRPr lang="en-US" sz="1100">
              <a:solidFill>
                <a:srgbClr val="FF0000"/>
              </a:solidFill>
              <a:latin typeface="Calibri" pitchFamily="34" charset="0"/>
            </a:endParaRPr>
          </a:p>
        </c:rich>
      </c:tx>
      <c:layout>
        <c:manualLayout>
          <c:xMode val="edge"/>
          <c:yMode val="edge"/>
          <c:x val="0.35706769721309695"/>
          <c:y val="0"/>
        </c:manualLayout>
      </c:layout>
      <c:overlay val="1"/>
    </c:title>
    <c:autoTitleDeleted val="0"/>
    <c:plotArea>
      <c:layout>
        <c:manualLayout>
          <c:layoutTarget val="inner"/>
          <c:xMode val="edge"/>
          <c:yMode val="edge"/>
          <c:x val="6.1669460775980824E-2"/>
          <c:y val="9.1539807524059491E-2"/>
          <c:w val="0.9308229335803091"/>
          <c:h val="0.67573995167351419"/>
        </c:manualLayout>
      </c:layout>
      <c:barChart>
        <c:barDir val="col"/>
        <c:grouping val="clustered"/>
        <c:varyColors val="0"/>
        <c:ser>
          <c:idx val="0"/>
          <c:order val="0"/>
          <c:tx>
            <c:strRef>
              <c:f>Sheet1!$B$1</c:f>
              <c:strCache>
                <c:ptCount val="1"/>
                <c:pt idx="0">
                  <c:v>Coastline</c:v>
                </c:pt>
              </c:strCache>
            </c:strRef>
          </c:tx>
          <c:spPr>
            <a:solidFill>
              <a:schemeClr val="tx2">
                <a:lumMod val="40000"/>
                <a:lumOff val="60000"/>
              </a:schemeClr>
            </a:solidFill>
          </c:spPr>
          <c:invertIfNegative val="0"/>
          <c:dLbls>
            <c:dLbl>
              <c:idx val="0"/>
              <c:spPr/>
              <c:txPr>
                <a:bodyPr rot="-4200000" vert="horz"/>
                <a:lstStyle/>
                <a:p>
                  <a:pPr>
                    <a:defRPr sz="800">
                      <a:latin typeface="Calibri" pitchFamily="34" charset="0"/>
                    </a:defRPr>
                  </a:pPr>
                  <a:endParaRPr lang="en-US"/>
                </a:p>
              </c:txPr>
              <c:showLegendKey val="0"/>
              <c:showVal val="1"/>
              <c:showCatName val="0"/>
              <c:showSerName val="0"/>
              <c:showPercent val="0"/>
              <c:showBubbleSize val="0"/>
            </c:dLbl>
            <c:spPr>
              <a:noFill/>
              <a:ln>
                <a:noFill/>
              </a:ln>
              <a:effectLst/>
            </c:spPr>
            <c:txPr>
              <a:bodyPr rot="-4200000" vert="horz"/>
              <a:lstStyle/>
              <a:p>
                <a:pPr>
                  <a:defRPr sz="7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Remedial Math</c:v>
                </c:pt>
                <c:pt idx="1">
                  <c:v>Remedial English</c:v>
                </c:pt>
                <c:pt idx="2">
                  <c:v>Remedial ESL</c:v>
                </c:pt>
                <c:pt idx="3">
                  <c:v>Persistence</c:v>
                </c:pt>
                <c:pt idx="4">
                  <c:v>30 Units</c:v>
                </c:pt>
                <c:pt idx="5">
                  <c:v>Degree/Transfer</c:v>
                </c:pt>
                <c:pt idx="6">
                  <c:v>CTE Completion</c:v>
                </c:pt>
                <c:pt idx="7">
                  <c:v>Skills Builder</c:v>
                </c:pt>
              </c:strCache>
            </c:strRef>
          </c:cat>
          <c:val>
            <c:numRef>
              <c:f>Sheet1!$B$2:$B$9</c:f>
              <c:numCache>
                <c:formatCode>0%</c:formatCode>
                <c:ptCount val="8"/>
                <c:pt idx="0">
                  <c:v>0.33400000000000002</c:v>
                </c:pt>
                <c:pt idx="1">
                  <c:v>0.48099999999999998</c:v>
                </c:pt>
                <c:pt idx="2">
                  <c:v>0.249</c:v>
                </c:pt>
                <c:pt idx="3">
                  <c:v>0.72299999999999998</c:v>
                </c:pt>
                <c:pt idx="4">
                  <c:v>0.77800000000000002</c:v>
                </c:pt>
                <c:pt idx="5">
                  <c:v>0.48799999999999999</c:v>
                </c:pt>
                <c:pt idx="6">
                  <c:v>0.59899999999999998</c:v>
                </c:pt>
                <c:pt idx="7">
                  <c:v>0.20300000000000001</c:v>
                </c:pt>
              </c:numCache>
            </c:numRef>
          </c:val>
          <c:extLst xmlns:c16r2="http://schemas.microsoft.com/office/drawing/2015/06/chart">
            <c:ext xmlns:c16="http://schemas.microsoft.com/office/drawing/2014/chart" uri="{C3380CC4-5D6E-409C-BE32-E72D297353CC}">
              <c16:uniqueId val="{00000001-F7DA-45D6-83C2-43F23D796558}"/>
            </c:ext>
          </c:extLst>
        </c:ser>
        <c:ser>
          <c:idx val="1"/>
          <c:order val="1"/>
          <c:tx>
            <c:strRef>
              <c:f>Sheet1!$C$1</c:f>
              <c:strCache>
                <c:ptCount val="1"/>
                <c:pt idx="0">
                  <c:v>Golden West</c:v>
                </c:pt>
              </c:strCache>
            </c:strRef>
          </c:tx>
          <c:spPr>
            <a:solidFill>
              <a:schemeClr val="accent3"/>
            </a:solidFill>
          </c:spPr>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Remedial Math</c:v>
                </c:pt>
                <c:pt idx="1">
                  <c:v>Remedial English</c:v>
                </c:pt>
                <c:pt idx="2">
                  <c:v>Remedial ESL</c:v>
                </c:pt>
                <c:pt idx="3">
                  <c:v>Persistence</c:v>
                </c:pt>
                <c:pt idx="4">
                  <c:v>30 Units</c:v>
                </c:pt>
                <c:pt idx="5">
                  <c:v>Degree/Transfer</c:v>
                </c:pt>
                <c:pt idx="6">
                  <c:v>CTE Completion</c:v>
                </c:pt>
                <c:pt idx="7">
                  <c:v>Skills Builder</c:v>
                </c:pt>
              </c:strCache>
            </c:strRef>
          </c:cat>
          <c:val>
            <c:numRef>
              <c:f>Sheet1!$C$2:$C$9</c:f>
              <c:numCache>
                <c:formatCode>0%</c:formatCode>
                <c:ptCount val="8"/>
                <c:pt idx="0">
                  <c:v>0.35299999999999998</c:v>
                </c:pt>
                <c:pt idx="1">
                  <c:v>0.53600000000000003</c:v>
                </c:pt>
                <c:pt idx="2">
                  <c:v>0.28699999999999998</c:v>
                </c:pt>
                <c:pt idx="3">
                  <c:v>0.82299999999999995</c:v>
                </c:pt>
                <c:pt idx="4">
                  <c:v>0.753</c:v>
                </c:pt>
                <c:pt idx="5">
                  <c:v>0.55500000000000005</c:v>
                </c:pt>
                <c:pt idx="6">
                  <c:v>0.61299999999999999</c:v>
                </c:pt>
                <c:pt idx="7">
                  <c:v>0.216</c:v>
                </c:pt>
              </c:numCache>
            </c:numRef>
          </c:val>
          <c:extLst xmlns:c16r2="http://schemas.microsoft.com/office/drawing/2015/06/chart">
            <c:ext xmlns:c16="http://schemas.microsoft.com/office/drawing/2014/chart" uri="{C3380CC4-5D6E-409C-BE32-E72D297353CC}">
              <c16:uniqueId val="{00000002-F7DA-45D6-83C2-43F23D796558}"/>
            </c:ext>
          </c:extLst>
        </c:ser>
        <c:ser>
          <c:idx val="2"/>
          <c:order val="2"/>
          <c:tx>
            <c:strRef>
              <c:f>Sheet1!$D$1</c:f>
              <c:strCache>
                <c:ptCount val="1"/>
                <c:pt idx="0">
                  <c:v>Orange Coast</c:v>
                </c:pt>
              </c:strCache>
            </c:strRef>
          </c:tx>
          <c:spPr>
            <a:solidFill>
              <a:schemeClr val="accent6"/>
            </a:solidFill>
            <a:ln>
              <a:solidFill>
                <a:schemeClr val="accent6"/>
              </a:solidFill>
            </a:ln>
          </c:spPr>
          <c:invertIfNegative val="0"/>
          <c:dLbls>
            <c:dLbl>
              <c:idx val="3"/>
              <c:layout>
                <c:manualLayout>
                  <c:x val="0"/>
                  <c:y val="3.27510917030567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42-4C02-B3F8-1EC8A1556349}"/>
                </c:ext>
                <c:ext xmlns:c15="http://schemas.microsoft.com/office/drawing/2012/chart" uri="{CE6537A1-D6FC-4f65-9D91-7224C49458BB}">
                  <c15:layout/>
                </c:ext>
              </c:extLst>
            </c:dLbl>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Remedial Math</c:v>
                </c:pt>
                <c:pt idx="1">
                  <c:v>Remedial English</c:v>
                </c:pt>
                <c:pt idx="2">
                  <c:v>Remedial ESL</c:v>
                </c:pt>
                <c:pt idx="3">
                  <c:v>Persistence</c:v>
                </c:pt>
                <c:pt idx="4">
                  <c:v>30 Units</c:v>
                </c:pt>
                <c:pt idx="5">
                  <c:v>Degree/Transfer</c:v>
                </c:pt>
                <c:pt idx="6">
                  <c:v>CTE Completion</c:v>
                </c:pt>
                <c:pt idx="7">
                  <c:v>Skills Builder</c:v>
                </c:pt>
              </c:strCache>
            </c:strRef>
          </c:cat>
          <c:val>
            <c:numRef>
              <c:f>Sheet1!$D$2:$D$9</c:f>
              <c:numCache>
                <c:formatCode>0%</c:formatCode>
                <c:ptCount val="8"/>
                <c:pt idx="0">
                  <c:v>0.38800000000000001</c:v>
                </c:pt>
                <c:pt idx="1">
                  <c:v>0.58699999999999997</c:v>
                </c:pt>
                <c:pt idx="2">
                  <c:v>0.46300000000000002</c:v>
                </c:pt>
                <c:pt idx="3">
                  <c:v>0.86599999999999999</c:v>
                </c:pt>
                <c:pt idx="4">
                  <c:v>0.78800000000000003</c:v>
                </c:pt>
                <c:pt idx="5">
                  <c:v>0.61199999999999999</c:v>
                </c:pt>
                <c:pt idx="6">
                  <c:v>0.66300000000000003</c:v>
                </c:pt>
                <c:pt idx="7">
                  <c:v>0.224</c:v>
                </c:pt>
              </c:numCache>
            </c:numRef>
          </c:val>
          <c:extLst xmlns:c16r2="http://schemas.microsoft.com/office/drawing/2015/06/chart">
            <c:ext xmlns:c16="http://schemas.microsoft.com/office/drawing/2014/chart" uri="{C3380CC4-5D6E-409C-BE32-E72D297353CC}">
              <c16:uniqueId val="{00000003-F7DA-45D6-83C2-43F23D796558}"/>
            </c:ext>
          </c:extLst>
        </c:ser>
        <c:ser>
          <c:idx val="3"/>
          <c:order val="3"/>
          <c:tx>
            <c:strRef>
              <c:f>Sheet1!$E$1</c:f>
              <c:strCache>
                <c:ptCount val="1"/>
                <c:pt idx="0">
                  <c:v>District-wide</c:v>
                </c:pt>
              </c:strCache>
            </c:strRef>
          </c:tx>
          <c:spPr>
            <a:solidFill>
              <a:schemeClr val="tx2">
                <a:lumMod val="60000"/>
                <a:lumOff val="40000"/>
              </a:schemeClr>
            </a:solidFill>
            <a:ln>
              <a:noFill/>
            </a:ln>
          </c:spPr>
          <c:invertIfNegative val="0"/>
          <c:dPt>
            <c:idx val="0"/>
            <c:invertIfNegative val="0"/>
            <c:bubble3D val="0"/>
            <c:extLst xmlns:c16r2="http://schemas.microsoft.com/office/drawing/2015/06/chart">
              <c:ext xmlns:c16="http://schemas.microsoft.com/office/drawing/2014/chart" uri="{C3380CC4-5D6E-409C-BE32-E72D297353CC}">
                <c16:uniqueId val="{00000004-F7DA-45D6-83C2-43F23D796558}"/>
              </c:ext>
            </c:extLst>
          </c:dPt>
          <c:dPt>
            <c:idx val="1"/>
            <c:invertIfNegative val="0"/>
            <c:bubble3D val="0"/>
            <c:extLst xmlns:c16r2="http://schemas.microsoft.com/office/drawing/2015/06/chart">
              <c:ext xmlns:c16="http://schemas.microsoft.com/office/drawing/2014/chart" uri="{C3380CC4-5D6E-409C-BE32-E72D297353CC}">
                <c16:uniqueId val="{00000005-F7DA-45D6-83C2-43F23D796558}"/>
              </c:ext>
            </c:extLst>
          </c:dPt>
          <c:dPt>
            <c:idx val="2"/>
            <c:invertIfNegative val="0"/>
            <c:bubble3D val="0"/>
            <c:extLst xmlns:c16r2="http://schemas.microsoft.com/office/drawing/2015/06/chart">
              <c:ext xmlns:c16="http://schemas.microsoft.com/office/drawing/2014/chart" uri="{C3380CC4-5D6E-409C-BE32-E72D297353CC}">
                <c16:uniqueId val="{00000006-F7DA-45D6-83C2-43F23D796558}"/>
              </c:ext>
            </c:extLst>
          </c:dPt>
          <c:dPt>
            <c:idx val="3"/>
            <c:invertIfNegative val="0"/>
            <c:bubble3D val="0"/>
            <c:extLst xmlns:c16r2="http://schemas.microsoft.com/office/drawing/2015/06/chart">
              <c:ext xmlns:c16="http://schemas.microsoft.com/office/drawing/2014/chart" uri="{C3380CC4-5D6E-409C-BE32-E72D297353CC}">
                <c16:uniqueId val="{00000007-F7DA-45D6-83C2-43F23D796558}"/>
              </c:ext>
            </c:extLst>
          </c:dPt>
          <c:dPt>
            <c:idx val="4"/>
            <c:invertIfNegative val="0"/>
            <c:bubble3D val="0"/>
            <c:extLst xmlns:c16r2="http://schemas.microsoft.com/office/drawing/2015/06/chart">
              <c:ext xmlns:c16="http://schemas.microsoft.com/office/drawing/2014/chart" uri="{C3380CC4-5D6E-409C-BE32-E72D297353CC}">
                <c16:uniqueId val="{00000008-F7DA-45D6-83C2-43F23D796558}"/>
              </c:ext>
            </c:extLst>
          </c:dPt>
          <c:dPt>
            <c:idx val="5"/>
            <c:invertIfNegative val="0"/>
            <c:bubble3D val="0"/>
            <c:extLst xmlns:c16r2="http://schemas.microsoft.com/office/drawing/2015/06/chart">
              <c:ext xmlns:c16="http://schemas.microsoft.com/office/drawing/2014/chart" uri="{C3380CC4-5D6E-409C-BE32-E72D297353CC}">
                <c16:uniqueId val="{00000009-F7DA-45D6-83C2-43F23D796558}"/>
              </c:ext>
            </c:extLst>
          </c:dPt>
          <c:dPt>
            <c:idx val="6"/>
            <c:invertIfNegative val="0"/>
            <c:bubble3D val="0"/>
            <c:extLst xmlns:c16r2="http://schemas.microsoft.com/office/drawing/2015/06/chart">
              <c:ext xmlns:c16="http://schemas.microsoft.com/office/drawing/2014/chart" uri="{C3380CC4-5D6E-409C-BE32-E72D297353CC}">
                <c16:uniqueId val="{0000000A-F7DA-45D6-83C2-43F23D796558}"/>
              </c:ext>
            </c:extLst>
          </c:dPt>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Remedial Math</c:v>
                </c:pt>
                <c:pt idx="1">
                  <c:v>Remedial English</c:v>
                </c:pt>
                <c:pt idx="2">
                  <c:v>Remedial ESL</c:v>
                </c:pt>
                <c:pt idx="3">
                  <c:v>Persistence</c:v>
                </c:pt>
                <c:pt idx="4">
                  <c:v>30 Units</c:v>
                </c:pt>
                <c:pt idx="5">
                  <c:v>Degree/Transfer</c:v>
                </c:pt>
                <c:pt idx="6">
                  <c:v>CTE Completion</c:v>
                </c:pt>
                <c:pt idx="7">
                  <c:v>Skills Builder</c:v>
                </c:pt>
              </c:strCache>
            </c:strRef>
          </c:cat>
          <c:val>
            <c:numRef>
              <c:f>Sheet1!$E$2:$E$9</c:f>
              <c:numCache>
                <c:formatCode>0%</c:formatCode>
                <c:ptCount val="8"/>
                <c:pt idx="0">
                  <c:v>0.36899999999999999</c:v>
                </c:pt>
                <c:pt idx="1">
                  <c:v>0.55300000000000005</c:v>
                </c:pt>
                <c:pt idx="2">
                  <c:v>0.318</c:v>
                </c:pt>
                <c:pt idx="3">
                  <c:v>0.83499999999999996</c:v>
                </c:pt>
                <c:pt idx="4">
                  <c:v>0.77600000000000002</c:v>
                </c:pt>
                <c:pt idx="5">
                  <c:v>0.61199999999999999</c:v>
                </c:pt>
                <c:pt idx="6">
                  <c:v>0.627</c:v>
                </c:pt>
                <c:pt idx="7">
                  <c:v>0.216</c:v>
                </c:pt>
              </c:numCache>
            </c:numRef>
          </c:val>
          <c:extLst xmlns:c16r2="http://schemas.microsoft.com/office/drawing/2015/06/chart">
            <c:ext xmlns:c16="http://schemas.microsoft.com/office/drawing/2014/chart" uri="{C3380CC4-5D6E-409C-BE32-E72D297353CC}">
              <c16:uniqueId val="{0000000B-F7DA-45D6-83C2-43F23D796558}"/>
            </c:ext>
          </c:extLst>
        </c:ser>
        <c:ser>
          <c:idx val="4"/>
          <c:order val="4"/>
          <c:tx>
            <c:strRef>
              <c:f>Sheet1!$F$1</c:f>
              <c:strCache>
                <c:ptCount val="1"/>
                <c:pt idx="0">
                  <c:v>Statewide</c:v>
                </c:pt>
              </c:strCache>
            </c:strRef>
          </c:tx>
          <c:spPr>
            <a:solidFill>
              <a:schemeClr val="accent2">
                <a:lumMod val="20000"/>
                <a:lumOff val="80000"/>
              </a:schemeClr>
            </a:solidFill>
          </c:spPr>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Sheet1!$A$2:$A$9</c:f>
              <c:strCache>
                <c:ptCount val="8"/>
                <c:pt idx="0">
                  <c:v>Remedial Math</c:v>
                </c:pt>
                <c:pt idx="1">
                  <c:v>Remedial English</c:v>
                </c:pt>
                <c:pt idx="2">
                  <c:v>Remedial ESL</c:v>
                </c:pt>
                <c:pt idx="3">
                  <c:v>Persistence</c:v>
                </c:pt>
                <c:pt idx="4">
                  <c:v>30 Units</c:v>
                </c:pt>
                <c:pt idx="5">
                  <c:v>Degree/Transfer</c:v>
                </c:pt>
                <c:pt idx="6">
                  <c:v>CTE Completion</c:v>
                </c:pt>
                <c:pt idx="7">
                  <c:v>Skills Builder</c:v>
                </c:pt>
              </c:strCache>
            </c:strRef>
          </c:cat>
          <c:val>
            <c:numRef>
              <c:f>Sheet1!$F$2:$F$9</c:f>
              <c:numCache>
                <c:formatCode>0%</c:formatCode>
                <c:ptCount val="8"/>
                <c:pt idx="0">
                  <c:v>0.34200000000000003</c:v>
                </c:pt>
                <c:pt idx="1">
                  <c:v>0.46899999999999997</c:v>
                </c:pt>
                <c:pt idx="2">
                  <c:v>0.30499999999999999</c:v>
                </c:pt>
                <c:pt idx="3">
                  <c:v>0.75900000000000001</c:v>
                </c:pt>
                <c:pt idx="4">
                  <c:v>0.68799999999999994</c:v>
                </c:pt>
                <c:pt idx="5">
                  <c:v>0.48</c:v>
                </c:pt>
                <c:pt idx="6">
                  <c:v>0.53900000000000003</c:v>
                </c:pt>
                <c:pt idx="7">
                  <c:v>0.22600000000000001</c:v>
                </c:pt>
              </c:numCache>
            </c:numRef>
          </c:val>
          <c:extLst xmlns:c16r2="http://schemas.microsoft.com/office/drawing/2015/06/chart">
            <c:ext xmlns:c16="http://schemas.microsoft.com/office/drawing/2014/chart" uri="{C3380CC4-5D6E-409C-BE32-E72D297353CC}">
              <c16:uniqueId val="{0000000C-F7DA-45D6-83C2-43F23D796558}"/>
            </c:ext>
          </c:extLst>
        </c:ser>
        <c:dLbls>
          <c:showLegendKey val="0"/>
          <c:showVal val="0"/>
          <c:showCatName val="0"/>
          <c:showSerName val="0"/>
          <c:showPercent val="0"/>
          <c:showBubbleSize val="0"/>
        </c:dLbls>
        <c:gapWidth val="150"/>
        <c:axId val="157733256"/>
        <c:axId val="157731688"/>
      </c:barChart>
      <c:catAx>
        <c:axId val="157733256"/>
        <c:scaling>
          <c:orientation val="minMax"/>
        </c:scaling>
        <c:delete val="0"/>
        <c:axPos val="b"/>
        <c:numFmt formatCode="General" sourceLinked="0"/>
        <c:majorTickMark val="out"/>
        <c:minorTickMark val="none"/>
        <c:tickLblPos val="nextTo"/>
        <c:txPr>
          <a:bodyPr/>
          <a:lstStyle/>
          <a:p>
            <a:pPr>
              <a:defRPr sz="900">
                <a:latin typeface="Calibri" pitchFamily="34" charset="0"/>
              </a:defRPr>
            </a:pPr>
            <a:endParaRPr lang="en-US"/>
          </a:p>
        </c:txPr>
        <c:crossAx val="157731688"/>
        <c:crosses val="autoZero"/>
        <c:auto val="1"/>
        <c:lblAlgn val="ctr"/>
        <c:lblOffset val="100"/>
        <c:noMultiLvlLbl val="0"/>
      </c:catAx>
      <c:valAx>
        <c:axId val="157731688"/>
        <c:scaling>
          <c:orientation val="minMax"/>
          <c:max val="1"/>
          <c:min val="0"/>
        </c:scaling>
        <c:delete val="0"/>
        <c:axPos val="l"/>
        <c:majorGridlines>
          <c:spPr>
            <a:ln w="6350">
              <a:solidFill>
                <a:schemeClr val="bg1">
                  <a:lumMod val="85000"/>
                </a:schemeClr>
              </a:solidFill>
            </a:ln>
            <a:effectLst/>
          </c:spPr>
        </c:majorGridlines>
        <c:numFmt formatCode="0%" sourceLinked="0"/>
        <c:majorTickMark val="out"/>
        <c:minorTickMark val="none"/>
        <c:tickLblPos val="nextTo"/>
        <c:txPr>
          <a:bodyPr/>
          <a:lstStyle/>
          <a:p>
            <a:pPr>
              <a:defRPr>
                <a:latin typeface="Calibri" pitchFamily="34" charset="0"/>
              </a:defRPr>
            </a:pPr>
            <a:endParaRPr lang="en-US"/>
          </a:p>
        </c:txPr>
        <c:crossAx val="157733256"/>
        <c:crosses val="autoZero"/>
        <c:crossBetween val="between"/>
      </c:valAx>
    </c:plotArea>
    <c:legend>
      <c:legendPos val="b"/>
      <c:layout>
        <c:manualLayout>
          <c:xMode val="edge"/>
          <c:yMode val="edge"/>
          <c:x val="6.2617308627936019E-2"/>
          <c:y val="0.91848675983564887"/>
          <c:w val="0.85504967876037918"/>
          <c:h val="6.6749674837205022E-2"/>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b="1" i="0" u="none" strike="noStrike" baseline="0">
                <a:effectLst/>
                <a:latin typeface="Calibri" pitchFamily="34" charset="0"/>
              </a:rPr>
              <a:t>Students on Academic Dismissal/Disqualification as Percentage of Overall Headcount</a:t>
            </a:r>
            <a:endParaRPr lang="en-US" sz="1050">
              <a:latin typeface="Calibri" pitchFamily="34" charset="0"/>
            </a:endParaRPr>
          </a:p>
        </c:rich>
      </c:tx>
      <c:layout>
        <c:manualLayout>
          <c:xMode val="edge"/>
          <c:yMode val="edge"/>
          <c:x val="0.10443842683002207"/>
          <c:y val="0"/>
        </c:manualLayout>
      </c:layout>
      <c:overlay val="1"/>
    </c:title>
    <c:autoTitleDeleted val="0"/>
    <c:plotArea>
      <c:layout>
        <c:manualLayout>
          <c:layoutTarget val="inner"/>
          <c:xMode val="edge"/>
          <c:yMode val="edge"/>
          <c:x val="5.7767799686196261E-2"/>
          <c:y val="0.1504412022791356"/>
          <c:w val="0.74589575063447644"/>
          <c:h val="0.69722174930836345"/>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spPr>
              <a:solidFill>
                <a:sysClr val="window" lastClr="FFFFFF">
                  <a:alpha val="60000"/>
                </a:sysClr>
              </a:solidFill>
            </c:spPr>
            <c:txPr>
              <a:bodyPr/>
              <a:lstStyle/>
              <a:p>
                <a:pPr>
                  <a:defRPr sz="800" b="1">
                    <a:solidFill>
                      <a:srgbClr val="0070C0"/>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0.0%</c:formatCode>
                <c:ptCount val="5"/>
                <c:pt idx="0">
                  <c:v>2.3E-2</c:v>
                </c:pt>
                <c:pt idx="1">
                  <c:v>2.3E-2</c:v>
                </c:pt>
                <c:pt idx="2">
                  <c:v>1.7999999999999999E-2</c:v>
                </c:pt>
                <c:pt idx="3">
                  <c:v>1.7999999999999999E-2</c:v>
                </c:pt>
                <c:pt idx="4">
                  <c:v>1.9E-2</c:v>
                </c:pt>
              </c:numCache>
            </c:numRef>
          </c:val>
          <c:smooth val="0"/>
          <c:extLst xmlns:c16r2="http://schemas.microsoft.com/office/drawing/2015/06/chart">
            <c:ext xmlns:c16="http://schemas.microsoft.com/office/drawing/2014/chart" uri="{C3380CC4-5D6E-409C-BE32-E72D297353CC}">
              <c16:uniqueId val="{00000000-F768-4543-AD17-A2B98D4EF107}"/>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0.0%</c:formatCode>
                <c:ptCount val="5"/>
                <c:pt idx="0">
                  <c:v>4.4999999999999998E-2</c:v>
                </c:pt>
                <c:pt idx="1">
                  <c:v>4.7E-2</c:v>
                </c:pt>
                <c:pt idx="2">
                  <c:v>4.2999999999999997E-2</c:v>
                </c:pt>
                <c:pt idx="3">
                  <c:v>4.8000000000000001E-2</c:v>
                </c:pt>
                <c:pt idx="4">
                  <c:v>4.4999999999999998E-2</c:v>
                </c:pt>
              </c:numCache>
            </c:numRef>
          </c:val>
          <c:smooth val="0"/>
          <c:extLst xmlns:c16r2="http://schemas.microsoft.com/office/drawing/2015/06/chart">
            <c:ext xmlns:c16="http://schemas.microsoft.com/office/drawing/2014/chart" uri="{C3380CC4-5D6E-409C-BE32-E72D297353CC}">
              <c16:uniqueId val="{00000001-F768-4543-AD17-A2B98D4EF107}"/>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4"/>
              <c:layout>
                <c:manualLayout>
                  <c:x val="-3.2208556575056217E-2"/>
                  <c:y val="6.67737816556714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AB-463E-9DFB-1AB960B54B1A}"/>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Sheet1!$D$2:$D$6</c:f>
              <c:numCache>
                <c:formatCode>0.0%</c:formatCode>
                <c:ptCount val="5"/>
                <c:pt idx="0">
                  <c:v>4.5999999999999999E-2</c:v>
                </c:pt>
                <c:pt idx="1">
                  <c:v>4.1000000000000002E-2</c:v>
                </c:pt>
                <c:pt idx="2">
                  <c:v>4.2999999999999997E-2</c:v>
                </c:pt>
                <c:pt idx="3">
                  <c:v>4.2000000000000003E-2</c:v>
                </c:pt>
                <c:pt idx="4">
                  <c:v>3.5999999999999997E-2</c:v>
                </c:pt>
              </c:numCache>
            </c:numRef>
          </c:val>
          <c:smooth val="0"/>
          <c:extLst xmlns:c16r2="http://schemas.microsoft.com/office/drawing/2015/06/chart">
            <c:ext xmlns:c16="http://schemas.microsoft.com/office/drawing/2014/chart" uri="{C3380CC4-5D6E-409C-BE32-E72D297353CC}">
              <c16:uniqueId val="{00000002-F768-4543-AD17-A2B98D4EF107}"/>
            </c:ext>
          </c:extLst>
        </c:ser>
        <c:dLbls>
          <c:dLblPos val="r"/>
          <c:showLegendKey val="0"/>
          <c:showVal val="1"/>
          <c:showCatName val="0"/>
          <c:showSerName val="0"/>
          <c:showPercent val="0"/>
          <c:showBubbleSize val="0"/>
        </c:dLbls>
        <c:marker val="1"/>
        <c:smooth val="0"/>
        <c:axId val="235938240"/>
        <c:axId val="232787512"/>
      </c:lineChart>
      <c:catAx>
        <c:axId val="235938240"/>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2787512"/>
        <c:crosses val="autoZero"/>
        <c:auto val="1"/>
        <c:lblAlgn val="ctr"/>
        <c:lblOffset val="100"/>
        <c:noMultiLvlLbl val="0"/>
      </c:catAx>
      <c:valAx>
        <c:axId val="232787512"/>
        <c:scaling>
          <c:orientation val="minMax"/>
          <c:max val="6.0000000000000012E-2"/>
          <c:min val="0"/>
        </c:scaling>
        <c:delete val="0"/>
        <c:axPos val="l"/>
        <c:majorGridlines>
          <c:spPr>
            <a:ln>
              <a:solidFill>
                <a:schemeClr val="bg1">
                  <a:lumMod val="85000"/>
                </a:schemeClr>
              </a:solidFill>
            </a:ln>
          </c:spPr>
        </c:majorGridlines>
        <c:numFmt formatCode="0.0%" sourceLinked="1"/>
        <c:majorTickMark val="out"/>
        <c:minorTickMark val="none"/>
        <c:tickLblPos val="nextTo"/>
        <c:txPr>
          <a:bodyPr/>
          <a:lstStyle/>
          <a:p>
            <a:pPr>
              <a:defRPr>
                <a:latin typeface="Calibri" pitchFamily="34" charset="0"/>
              </a:defRPr>
            </a:pPr>
            <a:endParaRPr lang="en-US"/>
          </a:p>
        </c:txPr>
        <c:crossAx val="235938240"/>
        <c:crosses val="autoZero"/>
        <c:crossBetween val="between"/>
        <c:majorUnit val="2.0000000000000004E-2"/>
      </c:valAx>
    </c:plotArea>
    <c:legend>
      <c:legendPos val="r"/>
      <c:layout>
        <c:manualLayout>
          <c:xMode val="edge"/>
          <c:yMode val="edge"/>
          <c:x val="0.84036702023817267"/>
          <c:y val="0.30368530856719833"/>
          <c:w val="0.1596329797618273"/>
          <c:h val="0.39262938286560334"/>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b="1" i="0" u="none" strike="noStrike" baseline="0">
                <a:effectLst/>
                <a:latin typeface="Calibri" pitchFamily="34" charset="0"/>
              </a:rPr>
              <a:t>Fall Students on Academic Probation or Disqualification Transitioning to Good Standing by the Following Spring Semester</a:t>
            </a:r>
            <a:endParaRPr lang="en-US" sz="1050">
              <a:latin typeface="Calibri" pitchFamily="34" charset="0"/>
            </a:endParaRPr>
          </a:p>
        </c:rich>
      </c:tx>
      <c:layout>
        <c:manualLayout>
          <c:xMode val="edge"/>
          <c:yMode val="edge"/>
          <c:x val="0.13978831064477384"/>
          <c:y val="0"/>
        </c:manualLayout>
      </c:layout>
      <c:overlay val="1"/>
    </c:title>
    <c:autoTitleDeleted val="0"/>
    <c:plotArea>
      <c:layout>
        <c:manualLayout>
          <c:layoutTarget val="inner"/>
          <c:xMode val="edge"/>
          <c:yMode val="edge"/>
          <c:x val="6.7495250938936505E-2"/>
          <c:y val="0.17470721910559903"/>
          <c:w val="0.75335348965357229"/>
          <c:h val="0.6743652928641386"/>
        </c:manualLayout>
      </c:layout>
      <c:lineChart>
        <c:grouping val="standard"/>
        <c:varyColors val="0"/>
        <c:ser>
          <c:idx val="0"/>
          <c:order val="0"/>
          <c:tx>
            <c:strRef>
              <c:f>Sheet1!$B$1</c:f>
              <c:strCache>
                <c:ptCount val="1"/>
                <c:pt idx="0">
                  <c:v>Coastline</c:v>
                </c:pt>
              </c:strCache>
            </c:strRef>
          </c:tx>
          <c:spPr>
            <a:ln w="25400" cap="flat" cmpd="sng" algn="ctr">
              <a:solidFill>
                <a:schemeClr val="accent1">
                  <a:lumMod val="75000"/>
                </a:schemeClr>
              </a:solidFill>
              <a:prstDash val="solid"/>
            </a:ln>
            <a:effectLst/>
          </c:spPr>
          <c:marker>
            <c:spPr>
              <a:solidFill>
                <a:schemeClr val="lt1"/>
              </a:solidFill>
              <a:ln w="25400" cap="flat" cmpd="sng" algn="ctr">
                <a:solidFill>
                  <a:schemeClr val="accent1">
                    <a:lumMod val="75000"/>
                  </a:schemeClr>
                </a:solidFill>
                <a:prstDash val="solid"/>
              </a:ln>
              <a:effectLst/>
            </c:spPr>
          </c:marker>
          <c:dLbls>
            <c:dLbl>
              <c:idx val="5"/>
              <c:layout>
                <c:manualLayout>
                  <c:x val="-2.8822087846755314E-3"/>
                  <c:y val="-9.0201504364670459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82-4D32-8DA9-C895C12DCCB6}"/>
                </c:ext>
                <c:ext xmlns:c15="http://schemas.microsoft.com/office/drawing/2012/chart" uri="{CE6537A1-D6FC-4f65-9D91-7224C49458BB}"/>
              </c:extLst>
            </c:dLbl>
            <c:spPr>
              <a:solidFill>
                <a:sysClr val="window" lastClr="FFFFFF">
                  <a:alpha val="60000"/>
                </a:sysClr>
              </a:solidFill>
            </c:spPr>
            <c:txPr>
              <a:bodyPr rot="0" vert="horz" anchor="ctr" anchorCtr="1"/>
              <a:lstStyle/>
              <a:p>
                <a:pPr>
                  <a:defRPr sz="800" b="1">
                    <a:solidFill>
                      <a:srgbClr val="0070C0"/>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2012-13</c:v>
                </c:pt>
                <c:pt idx="1">
                  <c:v>2013-14</c:v>
                </c:pt>
                <c:pt idx="2">
                  <c:v>2014-15</c:v>
                </c:pt>
                <c:pt idx="3">
                  <c:v>2015-16</c:v>
                </c:pt>
                <c:pt idx="4">
                  <c:v>2016-17</c:v>
                </c:pt>
              </c:strCache>
            </c:strRef>
          </c:cat>
          <c:val>
            <c:numRef>
              <c:f>Sheet1!$B$2:$B$6</c:f>
              <c:numCache>
                <c:formatCode>0.0%</c:formatCode>
                <c:ptCount val="5"/>
                <c:pt idx="0">
                  <c:v>0.15</c:v>
                </c:pt>
                <c:pt idx="1">
                  <c:v>0.16600000000000001</c:v>
                </c:pt>
                <c:pt idx="2">
                  <c:v>0.21099999999999999</c:v>
                </c:pt>
                <c:pt idx="3">
                  <c:v>0.17299999999999999</c:v>
                </c:pt>
                <c:pt idx="4">
                  <c:v>0.183</c:v>
                </c:pt>
              </c:numCache>
            </c:numRef>
          </c:val>
          <c:smooth val="0"/>
          <c:extLst xmlns:c16r2="http://schemas.microsoft.com/office/drawing/2015/06/chart">
            <c:ext xmlns:c16="http://schemas.microsoft.com/office/drawing/2014/chart" uri="{C3380CC4-5D6E-409C-BE32-E72D297353CC}">
              <c16:uniqueId val="{00000001-3882-4D32-8DA9-C895C12DCCB6}"/>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5"/>
              <c:layout>
                <c:manualLayout>
                  <c:x val="-3.4990791896869378E-2"/>
                  <c:y val="5.1118210862619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82-4D32-8DA9-C895C12DCCB6}"/>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2012-13</c:v>
                </c:pt>
                <c:pt idx="1">
                  <c:v>2013-14</c:v>
                </c:pt>
                <c:pt idx="2">
                  <c:v>2014-15</c:v>
                </c:pt>
                <c:pt idx="3">
                  <c:v>2015-16</c:v>
                </c:pt>
                <c:pt idx="4">
                  <c:v>2016-17</c:v>
                </c:pt>
              </c:strCache>
            </c:strRef>
          </c:cat>
          <c:val>
            <c:numRef>
              <c:f>Sheet1!$C$2:$C$6</c:f>
              <c:numCache>
                <c:formatCode>0.0%</c:formatCode>
                <c:ptCount val="5"/>
                <c:pt idx="0">
                  <c:v>0.20499999999999999</c:v>
                </c:pt>
                <c:pt idx="1">
                  <c:v>0.218</c:v>
                </c:pt>
                <c:pt idx="2">
                  <c:v>0.20699999999999999</c:v>
                </c:pt>
                <c:pt idx="3">
                  <c:v>0.222</c:v>
                </c:pt>
                <c:pt idx="4">
                  <c:v>0.214</c:v>
                </c:pt>
              </c:numCache>
            </c:numRef>
          </c:val>
          <c:smooth val="0"/>
          <c:extLst xmlns:c16r2="http://schemas.microsoft.com/office/drawing/2015/06/chart">
            <c:ext xmlns:c16="http://schemas.microsoft.com/office/drawing/2014/chart" uri="{C3380CC4-5D6E-409C-BE32-E72D297353CC}">
              <c16:uniqueId val="{00000003-3882-4D32-8DA9-C895C12DCCB6}"/>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2012-13</c:v>
                </c:pt>
                <c:pt idx="1">
                  <c:v>2013-14</c:v>
                </c:pt>
                <c:pt idx="2">
                  <c:v>2014-15</c:v>
                </c:pt>
                <c:pt idx="3">
                  <c:v>2015-16</c:v>
                </c:pt>
                <c:pt idx="4">
                  <c:v>2016-17</c:v>
                </c:pt>
              </c:strCache>
            </c:strRef>
          </c:cat>
          <c:val>
            <c:numRef>
              <c:f>Sheet1!$D$2:$D$6</c:f>
              <c:numCache>
                <c:formatCode>0.0%</c:formatCode>
                <c:ptCount val="5"/>
                <c:pt idx="0">
                  <c:v>0.22800000000000001</c:v>
                </c:pt>
                <c:pt idx="1">
                  <c:v>0.23499999999999999</c:v>
                </c:pt>
                <c:pt idx="2">
                  <c:v>0.22900000000000001</c:v>
                </c:pt>
                <c:pt idx="3">
                  <c:v>0.252</c:v>
                </c:pt>
                <c:pt idx="4">
                  <c:v>0.24299999999999999</c:v>
                </c:pt>
              </c:numCache>
            </c:numRef>
          </c:val>
          <c:smooth val="0"/>
          <c:extLst xmlns:c16r2="http://schemas.microsoft.com/office/drawing/2015/06/chart">
            <c:ext xmlns:c16="http://schemas.microsoft.com/office/drawing/2014/chart" uri="{C3380CC4-5D6E-409C-BE32-E72D297353CC}">
              <c16:uniqueId val="{00000004-3882-4D32-8DA9-C895C12DCCB6}"/>
            </c:ext>
          </c:extLst>
        </c:ser>
        <c:dLbls>
          <c:showLegendKey val="0"/>
          <c:showVal val="1"/>
          <c:showCatName val="0"/>
          <c:showSerName val="0"/>
          <c:showPercent val="0"/>
          <c:showBubbleSize val="0"/>
        </c:dLbls>
        <c:marker val="1"/>
        <c:smooth val="0"/>
        <c:axId val="232788296"/>
        <c:axId val="232788688"/>
      </c:lineChart>
      <c:catAx>
        <c:axId val="232788296"/>
        <c:scaling>
          <c:orientation val="minMax"/>
        </c:scaling>
        <c:delete val="0"/>
        <c:axPos val="b"/>
        <c:numFmt formatCode="General" sourceLinked="1"/>
        <c:majorTickMark val="out"/>
        <c:minorTickMark val="none"/>
        <c:tickLblPos val="nextTo"/>
        <c:txPr>
          <a:bodyPr/>
          <a:lstStyle/>
          <a:p>
            <a:pPr>
              <a:defRPr sz="1000">
                <a:latin typeface="Calibri" pitchFamily="34" charset="0"/>
              </a:defRPr>
            </a:pPr>
            <a:endParaRPr lang="en-US"/>
          </a:p>
        </c:txPr>
        <c:crossAx val="232788688"/>
        <c:crosses val="autoZero"/>
        <c:auto val="1"/>
        <c:lblAlgn val="ctr"/>
        <c:lblOffset val="100"/>
        <c:noMultiLvlLbl val="0"/>
      </c:catAx>
      <c:valAx>
        <c:axId val="232788688"/>
        <c:scaling>
          <c:orientation val="minMax"/>
          <c:max val="0.30000000000000004"/>
          <c:min val="0"/>
        </c:scaling>
        <c:delete val="0"/>
        <c:axPos val="l"/>
        <c:majorGridlines>
          <c:spPr>
            <a:ln>
              <a:solidFill>
                <a:schemeClr val="bg1">
                  <a:lumMod val="85000"/>
                </a:schemeClr>
              </a:solidFill>
            </a:ln>
          </c:spPr>
        </c:majorGridlines>
        <c:numFmt formatCode="0.0%" sourceLinked="1"/>
        <c:majorTickMark val="out"/>
        <c:minorTickMark val="none"/>
        <c:tickLblPos val="nextTo"/>
        <c:txPr>
          <a:bodyPr/>
          <a:lstStyle/>
          <a:p>
            <a:pPr>
              <a:defRPr>
                <a:latin typeface="Calibri" pitchFamily="34" charset="0"/>
              </a:defRPr>
            </a:pPr>
            <a:endParaRPr lang="en-US"/>
          </a:p>
        </c:txPr>
        <c:crossAx val="232788296"/>
        <c:crosses val="autoZero"/>
        <c:crossBetween val="between"/>
        <c:majorUnit val="5.000000000000001E-2"/>
      </c:valAx>
    </c:plotArea>
    <c:legend>
      <c:legendPos val="r"/>
      <c:layout>
        <c:manualLayout>
          <c:xMode val="edge"/>
          <c:yMode val="edge"/>
          <c:x val="0.84393149751308716"/>
          <c:y val="0.34593880237813723"/>
          <c:w val="0.1560685024869129"/>
          <c:h val="0.30812205982239438"/>
        </c:manualLayout>
      </c:layout>
      <c:overlay val="0"/>
      <c:txPr>
        <a:bodyPr/>
        <a:lstStyle/>
        <a:p>
          <a:pPr>
            <a:defRPr>
              <a:latin typeface="Calibri" pitchFamily="34" charset="0"/>
            </a:defRPr>
          </a:pPr>
          <a:endParaRPr lang="en-US"/>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050" u="heavy" baseline="0">
                <a:solidFill>
                  <a:schemeClr val="accent1"/>
                </a:solidFill>
                <a:uFill>
                  <a:solidFill>
                    <a:schemeClr val="accent1"/>
                  </a:solidFill>
                </a:uFill>
                <a:latin typeface="Calibri" pitchFamily="34" charset="0"/>
              </a:rPr>
              <a:t>Coastline</a:t>
            </a:r>
            <a:r>
              <a:rPr lang="en-US" sz="1050">
                <a:latin typeface="Calibri" pitchFamily="34" charset="0"/>
              </a:rPr>
              <a:t>   English Basic Skills Students </a:t>
            </a:r>
            <a:r>
              <a:rPr lang="en-US" sz="1000" b="1" i="0" u="none" strike="noStrike" baseline="0">
                <a:effectLst/>
                <a:latin typeface="Calibri" panose="020F0502020204030204" pitchFamily="34" charset="0"/>
              </a:rPr>
              <a:t>Progression</a:t>
            </a:r>
            <a:r>
              <a:rPr lang="en-US" sz="1050">
                <a:latin typeface="Calibri" pitchFamily="34" charset="0"/>
              </a:rPr>
              <a:t> to College Level within Two Years</a:t>
            </a:r>
          </a:p>
        </c:rich>
      </c:tx>
      <c:layout>
        <c:manualLayout>
          <c:xMode val="edge"/>
          <c:yMode val="edge"/>
          <c:x val="0.18412515440857957"/>
          <c:y val="0"/>
        </c:manualLayout>
      </c:layout>
      <c:overlay val="1"/>
    </c:title>
    <c:autoTitleDeleted val="0"/>
    <c:plotArea>
      <c:layout>
        <c:manualLayout>
          <c:layoutTarget val="inner"/>
          <c:xMode val="edge"/>
          <c:yMode val="edge"/>
          <c:x val="6.2511459655074431E-2"/>
          <c:y val="0.11139421914798626"/>
          <c:w val="0.93732447095657712"/>
          <c:h val="0.69503185736160256"/>
        </c:manualLayout>
      </c:layout>
      <c:barChart>
        <c:barDir val="col"/>
        <c:grouping val="clustered"/>
        <c:varyColors val="0"/>
        <c:ser>
          <c:idx val="0"/>
          <c:order val="0"/>
          <c:tx>
            <c:strRef>
              <c:f>Sheet1!$B$1</c:f>
              <c:strCache>
                <c:ptCount val="1"/>
                <c:pt idx="0">
                  <c:v>Fall 11—Spr 13</c:v>
                </c:pt>
              </c:strCache>
            </c:strRef>
          </c:tx>
          <c:invertIfNegative val="0"/>
          <c:dLbls>
            <c:dLbl>
              <c:idx val="0"/>
              <c:layout>
                <c:manualLayout>
                  <c:x val="0"/>
                  <c:y val="3.64166059723234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38-4967-8ED2-5DBF84BBB16F}"/>
                </c:ext>
                <c:ext xmlns:c15="http://schemas.microsoft.com/office/drawing/2012/chart" uri="{CE6537A1-D6FC-4f65-9D91-7224C49458BB}">
                  <c15:layout/>
                </c:ext>
              </c:extLst>
            </c:dLbl>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1</c:v>
                </c:pt>
                <c:pt idx="1">
                  <c:v>0.5</c:v>
                </c:pt>
                <c:pt idx="2">
                  <c:v>0.1</c:v>
                </c:pt>
              </c:numCache>
            </c:numRef>
          </c:val>
          <c:extLst xmlns:c16r2="http://schemas.microsoft.com/office/drawing/2015/06/chart">
            <c:ext xmlns:c16="http://schemas.microsoft.com/office/drawing/2014/chart" uri="{C3380CC4-5D6E-409C-BE32-E72D297353CC}">
              <c16:uniqueId val="{00000001-B638-4967-8ED2-5DBF84BBB16F}"/>
            </c:ext>
          </c:extLst>
        </c:ser>
        <c:ser>
          <c:idx val="1"/>
          <c:order val="1"/>
          <c:tx>
            <c:strRef>
              <c:f>Sheet1!$C$1</c:f>
              <c:strCache>
                <c:ptCount val="1"/>
                <c:pt idx="0">
                  <c:v>Fall 12—Spr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0.59</c:v>
                </c:pt>
                <c:pt idx="1">
                  <c:v>0.41</c:v>
                </c:pt>
                <c:pt idx="2">
                  <c:v>0.21</c:v>
                </c:pt>
              </c:numCache>
            </c:numRef>
          </c:val>
          <c:extLst xmlns:c16r2="http://schemas.microsoft.com/office/drawing/2015/06/chart">
            <c:ext xmlns:c16="http://schemas.microsoft.com/office/drawing/2014/chart" uri="{C3380CC4-5D6E-409C-BE32-E72D297353CC}">
              <c16:uniqueId val="{00000002-B638-4967-8ED2-5DBF84BBB16F}"/>
            </c:ext>
          </c:extLst>
        </c:ser>
        <c:ser>
          <c:idx val="2"/>
          <c:order val="2"/>
          <c:tx>
            <c:strRef>
              <c:f>Sheet1!$D$1</c:f>
              <c:strCache>
                <c:ptCount val="1"/>
                <c:pt idx="0">
                  <c:v>Fall 13—Spr 15</c:v>
                </c:pt>
              </c:strCache>
            </c:strRef>
          </c:tx>
          <c:invertIfNegative val="0"/>
          <c:dLbls>
            <c:dLbl>
              <c:idx val="0"/>
              <c:layout>
                <c:manualLayout>
                  <c:x val="-1.8554596901382318E-3"/>
                  <c:y val="1.09249817916969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38-4967-8ED2-5DBF84BBB16F}"/>
                </c:ext>
                <c:ext xmlns:c15="http://schemas.microsoft.com/office/drawing/2012/chart" uri="{CE6537A1-D6FC-4f65-9D91-7224C49458BB}">
                  <c15:layout/>
                </c:ext>
              </c:extLst>
            </c:dLbl>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0.74</c:v>
                </c:pt>
                <c:pt idx="1">
                  <c:v>0.5</c:v>
                </c:pt>
                <c:pt idx="2">
                  <c:v>0.36</c:v>
                </c:pt>
              </c:numCache>
            </c:numRef>
          </c:val>
          <c:extLst xmlns:c16r2="http://schemas.microsoft.com/office/drawing/2015/06/chart">
            <c:ext xmlns:c16="http://schemas.microsoft.com/office/drawing/2014/chart" uri="{C3380CC4-5D6E-409C-BE32-E72D297353CC}">
              <c16:uniqueId val="{00000004-B638-4967-8ED2-5DBF84BBB16F}"/>
            </c:ext>
          </c:extLst>
        </c:ser>
        <c:ser>
          <c:idx val="3"/>
          <c:order val="3"/>
          <c:tx>
            <c:strRef>
              <c:f>Sheet1!$E$1</c:f>
              <c:strCache>
                <c:ptCount val="1"/>
                <c:pt idx="0">
                  <c:v>Fall 14—Spr16</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5-B638-4967-8ED2-5DBF84BBB16F}"/>
              </c:ext>
            </c:extLst>
          </c:dPt>
          <c:dPt>
            <c:idx val="1"/>
            <c:invertIfNegative val="0"/>
            <c:bubble3D val="0"/>
            <c:extLst xmlns:c16r2="http://schemas.microsoft.com/office/drawing/2015/06/chart">
              <c:ext xmlns:c16="http://schemas.microsoft.com/office/drawing/2014/chart" uri="{C3380CC4-5D6E-409C-BE32-E72D297353CC}">
                <c16:uniqueId val="{00000006-B638-4967-8ED2-5DBF84BBB16F}"/>
              </c:ext>
            </c:extLst>
          </c:dPt>
          <c:dPt>
            <c:idx val="2"/>
            <c:invertIfNegative val="0"/>
            <c:bubble3D val="0"/>
            <c:extLst xmlns:c16r2="http://schemas.microsoft.com/office/drawing/2015/06/chart">
              <c:ext xmlns:c16="http://schemas.microsoft.com/office/drawing/2014/chart" uri="{C3380CC4-5D6E-409C-BE32-E72D297353CC}">
                <c16:uniqueId val="{00000007-B638-4967-8ED2-5DBF84BBB16F}"/>
              </c:ext>
            </c:extLst>
          </c:dPt>
          <c:dLbls>
            <c:dLbl>
              <c:idx val="0"/>
              <c:layout>
                <c:manualLayout>
                  <c:x val="-3.4016368025881417E-17"/>
                  <c:y val="2.18499635833939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38-4967-8ED2-5DBF84BBB16F}"/>
                </c:ext>
                <c:ext xmlns:c15="http://schemas.microsoft.com/office/drawing/2012/chart" uri="{CE6537A1-D6FC-4f65-9D91-7224C49458BB}">
                  <c15:layout/>
                </c:ext>
              </c:extLst>
            </c:dLbl>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0.79</c:v>
                </c:pt>
                <c:pt idx="1">
                  <c:v>0.41</c:v>
                </c:pt>
                <c:pt idx="2">
                  <c:v>0.31</c:v>
                </c:pt>
              </c:numCache>
            </c:numRef>
          </c:val>
          <c:extLst xmlns:c16r2="http://schemas.microsoft.com/office/drawing/2015/06/chart">
            <c:ext xmlns:c16="http://schemas.microsoft.com/office/drawing/2014/chart" uri="{C3380CC4-5D6E-409C-BE32-E72D297353CC}">
              <c16:uniqueId val="{00000008-B638-4967-8ED2-5DBF84BBB16F}"/>
            </c:ext>
          </c:extLst>
        </c:ser>
        <c:ser>
          <c:idx val="4"/>
          <c:order val="4"/>
          <c:tx>
            <c:strRef>
              <c:f>Sheet1!$F$1</c:f>
              <c:strCache>
                <c:ptCount val="1"/>
                <c:pt idx="0">
                  <c:v>Fall 15—Spr17</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0.59</c:v>
                </c:pt>
                <c:pt idx="1">
                  <c:v>0.41</c:v>
                </c:pt>
                <c:pt idx="2">
                  <c:v>0.28999999999999998</c:v>
                </c:pt>
              </c:numCache>
            </c:numRef>
          </c:val>
          <c:extLst xmlns:c16r2="http://schemas.microsoft.com/office/drawing/2015/06/chart">
            <c:ext xmlns:c16="http://schemas.microsoft.com/office/drawing/2014/chart" uri="{C3380CC4-5D6E-409C-BE32-E72D297353CC}">
              <c16:uniqueId val="{00000009-B638-4967-8ED2-5DBF84BBB16F}"/>
            </c:ext>
          </c:extLst>
        </c:ser>
        <c:dLbls>
          <c:showLegendKey val="0"/>
          <c:showVal val="0"/>
          <c:showCatName val="0"/>
          <c:showSerName val="0"/>
          <c:showPercent val="0"/>
          <c:showBubbleSize val="0"/>
        </c:dLbls>
        <c:gapWidth val="150"/>
        <c:axId val="237856352"/>
        <c:axId val="237856744"/>
      </c:barChart>
      <c:catAx>
        <c:axId val="237856352"/>
        <c:scaling>
          <c:orientation val="minMax"/>
        </c:scaling>
        <c:delete val="0"/>
        <c:axPos val="b"/>
        <c:numFmt formatCode="General" sourceLinked="0"/>
        <c:majorTickMark val="out"/>
        <c:minorTickMark val="none"/>
        <c:tickLblPos val="nextTo"/>
        <c:txPr>
          <a:bodyPr/>
          <a:lstStyle/>
          <a:p>
            <a:pPr>
              <a:defRPr>
                <a:latin typeface="Calibri" pitchFamily="34" charset="0"/>
              </a:defRPr>
            </a:pPr>
            <a:endParaRPr lang="en-US"/>
          </a:p>
        </c:txPr>
        <c:crossAx val="237856744"/>
        <c:crosses val="autoZero"/>
        <c:auto val="1"/>
        <c:lblAlgn val="ctr"/>
        <c:lblOffset val="100"/>
        <c:noMultiLvlLbl val="0"/>
      </c:catAx>
      <c:valAx>
        <c:axId val="237856744"/>
        <c:scaling>
          <c:orientation val="minMax"/>
          <c:max val="1"/>
          <c:min val="0"/>
        </c:scaling>
        <c:delete val="0"/>
        <c:axPos val="l"/>
        <c:majorGridlines>
          <c:spPr>
            <a:ln>
              <a:solidFill>
                <a:schemeClr val="bg1">
                  <a:lumMod val="85000"/>
                </a:schemeClr>
              </a:solidFill>
            </a:ln>
          </c:spPr>
        </c:majorGridlines>
        <c:numFmt formatCode="0%" sourceLinked="0"/>
        <c:majorTickMark val="out"/>
        <c:minorTickMark val="none"/>
        <c:tickLblPos val="nextTo"/>
        <c:spPr>
          <a:ln w="3175">
            <a:solidFill>
              <a:schemeClr val="tx1">
                <a:lumMod val="95000"/>
                <a:lumOff val="5000"/>
              </a:schemeClr>
            </a:solidFill>
          </a:ln>
        </c:spPr>
        <c:txPr>
          <a:bodyPr/>
          <a:lstStyle/>
          <a:p>
            <a:pPr>
              <a:defRPr>
                <a:latin typeface="Calibri" pitchFamily="34" charset="0"/>
              </a:defRPr>
            </a:pPr>
            <a:endParaRPr lang="en-US"/>
          </a:p>
        </c:txPr>
        <c:crossAx val="237856352"/>
        <c:crosses val="autoZero"/>
        <c:crossBetween val="between"/>
        <c:majorUnit val="0.1"/>
      </c:valAx>
    </c:plotArea>
    <c:legend>
      <c:legendPos val="b"/>
      <c:layout>
        <c:manualLayout>
          <c:xMode val="edge"/>
          <c:yMode val="edge"/>
          <c:x val="7.2362927915391034E-2"/>
          <c:y val="0.94850777938992148"/>
          <c:w val="0.83818264628686123"/>
          <c:h val="5.149214557135582E-2"/>
        </c:manualLayout>
      </c:layout>
      <c:overlay val="1"/>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000" u="heavy" baseline="0">
                <a:solidFill>
                  <a:schemeClr val="accent5"/>
                </a:solidFill>
                <a:uFill>
                  <a:solidFill>
                    <a:schemeClr val="accent3">
                      <a:lumMod val="75000"/>
                    </a:schemeClr>
                  </a:solidFill>
                </a:uFill>
                <a:latin typeface="Calibri" pitchFamily="34" charset="0"/>
                <a:cs typeface="Arial" pitchFamily="34" charset="0"/>
              </a:rPr>
              <a:t>Golden West</a:t>
            </a:r>
            <a:r>
              <a:rPr lang="en-US" sz="1000">
                <a:solidFill>
                  <a:schemeClr val="accent5"/>
                </a:solidFill>
                <a:latin typeface="Calibri" pitchFamily="34" charset="0"/>
                <a:cs typeface="Arial" pitchFamily="34" charset="0"/>
              </a:rPr>
              <a:t>   </a:t>
            </a:r>
            <a:r>
              <a:rPr lang="en-US" sz="1000">
                <a:latin typeface="Calibri" pitchFamily="34" charset="0"/>
                <a:cs typeface="Arial" pitchFamily="34" charset="0"/>
              </a:rPr>
              <a:t>English Basic Skills Students </a:t>
            </a:r>
            <a:r>
              <a:rPr lang="en-US" sz="1000" b="1" i="0" u="none" strike="noStrike" baseline="0">
                <a:effectLst/>
                <a:latin typeface="Calibri" panose="020F0502020204030204" pitchFamily="34" charset="0"/>
              </a:rPr>
              <a:t>Progression</a:t>
            </a:r>
            <a:r>
              <a:rPr lang="en-US" sz="1000">
                <a:latin typeface="Calibri" pitchFamily="34" charset="0"/>
                <a:cs typeface="Arial" pitchFamily="34" charset="0"/>
              </a:rPr>
              <a:t> to College Level within Two Years</a:t>
            </a:r>
          </a:p>
        </c:rich>
      </c:tx>
      <c:layout>
        <c:manualLayout>
          <c:xMode val="edge"/>
          <c:yMode val="edge"/>
          <c:x val="0.13601190476190475"/>
          <c:y val="0"/>
        </c:manualLayout>
      </c:layout>
      <c:overlay val="1"/>
      <c:spPr>
        <a:noFill/>
        <a:ln>
          <a:noFill/>
        </a:ln>
        <a:effectLst/>
      </c:spPr>
    </c:title>
    <c:autoTitleDeleted val="0"/>
    <c:plotArea>
      <c:layout>
        <c:manualLayout>
          <c:layoutTarget val="inner"/>
          <c:xMode val="edge"/>
          <c:yMode val="edge"/>
          <c:x val="6.067165938231904E-2"/>
          <c:y val="7.920158934344626E-2"/>
          <c:w val="0.939328340617681"/>
          <c:h val="0.72726913940731974"/>
        </c:manualLayout>
      </c:layout>
      <c:barChart>
        <c:barDir val="col"/>
        <c:grouping val="clustered"/>
        <c:varyColors val="0"/>
        <c:ser>
          <c:idx val="0"/>
          <c:order val="0"/>
          <c:tx>
            <c:strRef>
              <c:f>Sheet1!$B$1</c:f>
              <c:strCache>
                <c:ptCount val="1"/>
                <c:pt idx="0">
                  <c:v>Fall 11—Spr 13</c:v>
                </c:pt>
              </c:strCache>
            </c:strRef>
          </c:tx>
          <c:spPr>
            <a:solidFill>
              <a:schemeClr val="accent5">
                <a:shade val="53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0.67</c:v>
                </c:pt>
                <c:pt idx="1">
                  <c:v>0.44</c:v>
                </c:pt>
                <c:pt idx="2">
                  <c:v>0.25</c:v>
                </c:pt>
              </c:numCache>
            </c:numRef>
          </c:val>
          <c:extLst xmlns:c16r2="http://schemas.microsoft.com/office/drawing/2015/06/chart">
            <c:ext xmlns:c16="http://schemas.microsoft.com/office/drawing/2014/chart" uri="{C3380CC4-5D6E-409C-BE32-E72D297353CC}">
              <c16:uniqueId val="{00000000-99A6-4608-A96E-0D5985342C95}"/>
            </c:ext>
          </c:extLst>
        </c:ser>
        <c:ser>
          <c:idx val="1"/>
          <c:order val="1"/>
          <c:tx>
            <c:strRef>
              <c:f>Sheet1!$C$1</c:f>
              <c:strCache>
                <c:ptCount val="1"/>
                <c:pt idx="0">
                  <c:v>Fall 12—Spr 14</c:v>
                </c:pt>
              </c:strCache>
            </c:strRef>
          </c:tx>
          <c:spPr>
            <a:solidFill>
              <a:schemeClr val="accent5">
                <a:shade val="76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0.68</c:v>
                </c:pt>
                <c:pt idx="1">
                  <c:v>0.47</c:v>
                </c:pt>
                <c:pt idx="2">
                  <c:v>0.28000000000000003</c:v>
                </c:pt>
              </c:numCache>
            </c:numRef>
          </c:val>
          <c:extLst xmlns:c16r2="http://schemas.microsoft.com/office/drawing/2015/06/chart">
            <c:ext xmlns:c16="http://schemas.microsoft.com/office/drawing/2014/chart" uri="{C3380CC4-5D6E-409C-BE32-E72D297353CC}">
              <c16:uniqueId val="{00000001-99A6-4608-A96E-0D5985342C95}"/>
            </c:ext>
          </c:extLst>
        </c:ser>
        <c:ser>
          <c:idx val="2"/>
          <c:order val="2"/>
          <c:tx>
            <c:strRef>
              <c:f>Sheet1!$D$1</c:f>
              <c:strCache>
                <c:ptCount val="1"/>
                <c:pt idx="0">
                  <c:v>Fall 13—Spr 15</c:v>
                </c:pt>
              </c:strCache>
            </c:strRef>
          </c:tx>
          <c:spPr>
            <a:solidFill>
              <a:schemeClr val="accent5"/>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0.65</c:v>
                </c:pt>
                <c:pt idx="1">
                  <c:v>0.43</c:v>
                </c:pt>
                <c:pt idx="2">
                  <c:v>0.25</c:v>
                </c:pt>
              </c:numCache>
            </c:numRef>
          </c:val>
          <c:extLst xmlns:c16r2="http://schemas.microsoft.com/office/drawing/2015/06/chart">
            <c:ext xmlns:c16="http://schemas.microsoft.com/office/drawing/2014/chart" uri="{C3380CC4-5D6E-409C-BE32-E72D297353CC}">
              <c16:uniqueId val="{00000002-99A6-4608-A96E-0D5985342C95}"/>
            </c:ext>
          </c:extLst>
        </c:ser>
        <c:ser>
          <c:idx val="3"/>
          <c:order val="3"/>
          <c:tx>
            <c:strRef>
              <c:f>Sheet1!$E$1</c:f>
              <c:strCache>
                <c:ptCount val="1"/>
                <c:pt idx="0">
                  <c:v>Fall 14—Spr 16</c:v>
                </c:pt>
              </c:strCache>
            </c:strRef>
          </c:tx>
          <c:spPr>
            <a:solidFill>
              <a:schemeClr val="accent5">
                <a:tint val="77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99A6-4608-A96E-0D5985342C95}"/>
              </c:ext>
            </c:extLst>
          </c:dPt>
          <c:dPt>
            <c:idx val="1"/>
            <c:invertIfNegative val="0"/>
            <c:bubble3D val="0"/>
            <c:extLst xmlns:c16r2="http://schemas.microsoft.com/office/drawing/2015/06/chart">
              <c:ext xmlns:c16="http://schemas.microsoft.com/office/drawing/2014/chart" uri="{C3380CC4-5D6E-409C-BE32-E72D297353CC}">
                <c16:uniqueId val="{00000004-99A6-4608-A96E-0D5985342C95}"/>
              </c:ext>
            </c:extLst>
          </c:dPt>
          <c:dPt>
            <c:idx val="2"/>
            <c:invertIfNegative val="0"/>
            <c:bubble3D val="0"/>
            <c:extLst xmlns:c16r2="http://schemas.microsoft.com/office/drawing/2015/06/chart">
              <c:ext xmlns:c16="http://schemas.microsoft.com/office/drawing/2014/chart" uri="{C3380CC4-5D6E-409C-BE32-E72D297353CC}">
                <c16:uniqueId val="{00000005-99A6-4608-A96E-0D5985342C95}"/>
              </c:ext>
            </c:extLst>
          </c:dPt>
          <c:dLbls>
            <c:dLbl>
              <c:idx val="0"/>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A6-4608-A96E-0D5985342C95}"/>
                </c:ext>
                <c:ext xmlns:c15="http://schemas.microsoft.com/office/drawing/2012/chart" uri="{CE6537A1-D6FC-4f65-9D91-7224C49458BB}">
                  <c15:layout/>
                </c:ext>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0.61</c:v>
                </c:pt>
                <c:pt idx="1">
                  <c:v>0.37</c:v>
                </c:pt>
                <c:pt idx="2">
                  <c:v>0.3</c:v>
                </c:pt>
              </c:numCache>
            </c:numRef>
          </c:val>
          <c:extLst xmlns:c16r2="http://schemas.microsoft.com/office/drawing/2015/06/chart">
            <c:ext xmlns:c16="http://schemas.microsoft.com/office/drawing/2014/chart" uri="{C3380CC4-5D6E-409C-BE32-E72D297353CC}">
              <c16:uniqueId val="{00000006-99A6-4608-A96E-0D5985342C95}"/>
            </c:ext>
          </c:extLst>
        </c:ser>
        <c:ser>
          <c:idx val="4"/>
          <c:order val="4"/>
          <c:tx>
            <c:strRef>
              <c:f>Sheet1!$F$1</c:f>
              <c:strCache>
                <c:ptCount val="1"/>
                <c:pt idx="0">
                  <c:v>Fall 15—Sp17</c:v>
                </c:pt>
              </c:strCache>
            </c:strRef>
          </c:tx>
          <c:spPr>
            <a:solidFill>
              <a:schemeClr val="accent5">
                <a:tint val="54000"/>
              </a:schemeClr>
            </a:solidFill>
            <a:ln>
              <a:noFill/>
            </a:ln>
            <a:effectLst/>
          </c:spPr>
          <c:invertIfNegative val="0"/>
          <c:dLbls>
            <c:dLbl>
              <c:idx val="0"/>
              <c:layout>
                <c:manualLayout>
                  <c:x val="-3.3567923734411406E-17"/>
                  <c:y val="1.1305822498586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9A6-4608-A96E-0D5985342C95}"/>
                </c:ext>
                <c:ext xmlns:c15="http://schemas.microsoft.com/office/drawing/2012/chart" uri="{CE6537A1-D6FC-4f65-9D91-7224C49458BB}">
                  <c15:layout/>
                </c:ext>
              </c:extLst>
            </c:dLbl>
            <c:dLbl>
              <c:idx val="1"/>
              <c:layout>
                <c:manualLayout>
                  <c:x val="0"/>
                  <c:y val="7.53721499905791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9A6-4608-A96E-0D5985342C95}"/>
                </c:ext>
                <c:ext xmlns:c15="http://schemas.microsoft.com/office/drawing/2012/chart" uri="{CE6537A1-D6FC-4f65-9D91-7224C49458BB}">
                  <c15:layout/>
                </c:ext>
              </c:extLst>
            </c:dLbl>
            <c:dLbl>
              <c:idx val="2"/>
              <c:layout>
                <c:manualLayout>
                  <c:x val="0"/>
                  <c:y val="1.50744299981156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9A6-4608-A96E-0D5985342C95}"/>
                </c:ext>
                <c:ext xmlns:c15="http://schemas.microsoft.com/office/drawing/2012/chart" uri="{CE6537A1-D6FC-4f65-9D91-7224C49458BB}">
                  <c15:layout/>
                </c:ext>
              </c:extLst>
            </c:dLbl>
            <c:spPr>
              <a:noFill/>
              <a:ln>
                <a:noFill/>
              </a:ln>
              <a:effectLst/>
            </c:spPr>
            <c:txPr>
              <a:bodyPr rot="-4200000" spcFirstLastPara="1" vertOverflow="overflow" horzOverflow="overflow" wrap="square" lIns="91440" tIns="19050" rIns="38100" bIns="19050" anchor="ctr" anchorCtr="1">
                <a:spAutoFit/>
              </a:bodyPr>
              <a:lstStyle/>
              <a:p>
                <a:pPr>
                  <a:defRPr sz="800" b="0" i="0" u="none" strike="noStrike" kern="1200" baseline="0">
                    <a:solidFill>
                      <a:schemeClr val="dk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shade val="95000"/>
                          <a:satMod val="105000"/>
                        </a:schemeClr>
                      </a:solidFill>
                      <a:prstDash val="solid"/>
                      <a:round/>
                    </a:ln>
                    <a:effectLst/>
                  </c:spPr>
                </c15:leaderLines>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0.57999999999999996</c:v>
                </c:pt>
                <c:pt idx="1">
                  <c:v>0.41</c:v>
                </c:pt>
                <c:pt idx="2">
                  <c:v>0.28000000000000003</c:v>
                </c:pt>
              </c:numCache>
            </c:numRef>
          </c:val>
          <c:extLst xmlns:c16r2="http://schemas.microsoft.com/office/drawing/2015/06/chart">
            <c:ext xmlns:c16="http://schemas.microsoft.com/office/drawing/2014/chart" uri="{C3380CC4-5D6E-409C-BE32-E72D297353CC}">
              <c16:uniqueId val="{0000000A-99A6-4608-A96E-0D5985342C95}"/>
            </c:ext>
          </c:extLst>
        </c:ser>
        <c:dLbls>
          <c:showLegendKey val="0"/>
          <c:showVal val="0"/>
          <c:showCatName val="0"/>
          <c:showSerName val="0"/>
          <c:showPercent val="0"/>
          <c:showBubbleSize val="0"/>
        </c:dLbls>
        <c:gapWidth val="150"/>
        <c:axId val="237857528"/>
        <c:axId val="237857920"/>
      </c:barChart>
      <c:catAx>
        <c:axId val="23785752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7857920"/>
        <c:crosses val="autoZero"/>
        <c:auto val="1"/>
        <c:lblAlgn val="ctr"/>
        <c:lblOffset val="100"/>
        <c:noMultiLvlLbl val="0"/>
      </c:catAx>
      <c:valAx>
        <c:axId val="237857920"/>
        <c:scaling>
          <c:orientation val="minMax"/>
          <c:max val="1"/>
          <c:min val="0"/>
        </c:scaling>
        <c:delete val="0"/>
        <c:axPos val="l"/>
        <c:majorGridlines>
          <c:spPr>
            <a:ln w="9525" cap="flat" cmpd="sng" algn="ctr">
              <a:solidFill>
                <a:sysClr val="window" lastClr="FFFFFF">
                  <a:lumMod val="85000"/>
                </a:sys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7857528"/>
        <c:crosses val="autoZero"/>
        <c:crossBetween val="between"/>
      </c:valAx>
      <c:spPr>
        <a:solidFill>
          <a:schemeClr val="bg1"/>
        </a:solidFill>
        <a:ln>
          <a:noFill/>
        </a:ln>
        <a:effectLst/>
      </c:spPr>
    </c:plotArea>
    <c:legend>
      <c:legendPos val="b"/>
      <c:layout>
        <c:manualLayout>
          <c:xMode val="edge"/>
          <c:yMode val="edge"/>
          <c:x val="0"/>
          <c:y val="0.93097098040610538"/>
          <c:w val="0.78001111574868032"/>
          <c:h val="6.814740299915873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000" u="heavy" baseline="0">
                <a:solidFill>
                  <a:schemeClr val="accent6">
                    <a:lumMod val="75000"/>
                  </a:schemeClr>
                </a:solidFill>
                <a:uFill>
                  <a:solidFill>
                    <a:schemeClr val="accent6"/>
                  </a:solidFill>
                </a:uFill>
                <a:latin typeface="Calibri" pitchFamily="34" charset="0"/>
              </a:rPr>
              <a:t>Orange Coast</a:t>
            </a:r>
            <a:r>
              <a:rPr lang="en-US" sz="1000" u="none" baseline="0">
                <a:solidFill>
                  <a:schemeClr val="accent6"/>
                </a:solidFill>
                <a:uFill>
                  <a:solidFill>
                    <a:schemeClr val="accent6"/>
                  </a:solidFill>
                </a:uFill>
                <a:latin typeface="Calibri" pitchFamily="34" charset="0"/>
              </a:rPr>
              <a:t>   </a:t>
            </a:r>
            <a:r>
              <a:rPr lang="en-US" sz="1000">
                <a:latin typeface="Calibri" pitchFamily="34" charset="0"/>
              </a:rPr>
              <a:t>English Basic Skills Students </a:t>
            </a:r>
            <a:r>
              <a:rPr lang="en-US" sz="1000" b="1" i="0" u="none" strike="noStrike" baseline="0">
                <a:effectLst/>
                <a:latin typeface="Calibri" panose="020F0502020204030204" pitchFamily="34" charset="0"/>
              </a:rPr>
              <a:t>Progression</a:t>
            </a:r>
            <a:r>
              <a:rPr lang="en-US" sz="1000">
                <a:latin typeface="Calibri" pitchFamily="34" charset="0"/>
              </a:rPr>
              <a:t> to College Level within Two Years</a:t>
            </a:r>
          </a:p>
        </c:rich>
      </c:tx>
      <c:layout>
        <c:manualLayout>
          <c:xMode val="edge"/>
          <c:yMode val="edge"/>
          <c:x val="0.1340923009623797"/>
          <c:y val="0"/>
        </c:manualLayout>
      </c:layout>
      <c:overlay val="1"/>
    </c:title>
    <c:autoTitleDeleted val="0"/>
    <c:plotArea>
      <c:layout>
        <c:manualLayout>
          <c:layoutTarget val="inner"/>
          <c:xMode val="edge"/>
          <c:yMode val="edge"/>
          <c:x val="6.2525114381864935E-2"/>
          <c:y val="9.0498687664041996E-2"/>
          <c:w val="0.93698167581178049"/>
          <c:h val="0.72726913940731974"/>
        </c:manualLayout>
      </c:layout>
      <c:barChart>
        <c:barDir val="col"/>
        <c:grouping val="clustered"/>
        <c:varyColors val="0"/>
        <c:ser>
          <c:idx val="0"/>
          <c:order val="0"/>
          <c:tx>
            <c:strRef>
              <c:f>Sheet1!$B$1</c:f>
              <c:strCache>
                <c:ptCount val="1"/>
                <c:pt idx="0">
                  <c:v>Fall 11—Spr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0.72</c:v>
                </c:pt>
                <c:pt idx="1">
                  <c:v>0.51</c:v>
                </c:pt>
                <c:pt idx="2">
                  <c:v>0.28000000000000003</c:v>
                </c:pt>
              </c:numCache>
            </c:numRef>
          </c:val>
          <c:extLst xmlns:c16r2="http://schemas.microsoft.com/office/drawing/2015/06/chart">
            <c:ext xmlns:c16="http://schemas.microsoft.com/office/drawing/2014/chart" uri="{C3380CC4-5D6E-409C-BE32-E72D297353CC}">
              <c16:uniqueId val="{00000000-9C05-4CFF-B4B2-1E31871746B2}"/>
            </c:ext>
          </c:extLst>
        </c:ser>
        <c:ser>
          <c:idx val="1"/>
          <c:order val="1"/>
          <c:tx>
            <c:strRef>
              <c:f>Sheet1!$C$1</c:f>
              <c:strCache>
                <c:ptCount val="1"/>
                <c:pt idx="0">
                  <c:v>Fall 12—Spr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0.69</c:v>
                </c:pt>
                <c:pt idx="1">
                  <c:v>0.37</c:v>
                </c:pt>
                <c:pt idx="2">
                  <c:v>0.19</c:v>
                </c:pt>
              </c:numCache>
            </c:numRef>
          </c:val>
          <c:extLst xmlns:c16r2="http://schemas.microsoft.com/office/drawing/2015/06/chart">
            <c:ext xmlns:c16="http://schemas.microsoft.com/office/drawing/2014/chart" uri="{C3380CC4-5D6E-409C-BE32-E72D297353CC}">
              <c16:uniqueId val="{00000001-9C05-4CFF-B4B2-1E31871746B2}"/>
            </c:ext>
          </c:extLst>
        </c:ser>
        <c:ser>
          <c:idx val="2"/>
          <c:order val="2"/>
          <c:tx>
            <c:strRef>
              <c:f>Sheet1!$D$1</c:f>
              <c:strCache>
                <c:ptCount val="1"/>
                <c:pt idx="0">
                  <c:v>Fall 13—Spr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0.74</c:v>
                </c:pt>
                <c:pt idx="1">
                  <c:v>0.49</c:v>
                </c:pt>
                <c:pt idx="2">
                  <c:v>0.3</c:v>
                </c:pt>
              </c:numCache>
            </c:numRef>
          </c:val>
          <c:extLst xmlns:c16r2="http://schemas.microsoft.com/office/drawing/2015/06/chart">
            <c:ext xmlns:c16="http://schemas.microsoft.com/office/drawing/2014/chart" uri="{C3380CC4-5D6E-409C-BE32-E72D297353CC}">
              <c16:uniqueId val="{00000002-9C05-4CFF-B4B2-1E31871746B2}"/>
            </c:ext>
          </c:extLst>
        </c:ser>
        <c:ser>
          <c:idx val="3"/>
          <c:order val="3"/>
          <c:tx>
            <c:strRef>
              <c:f>Sheet1!$E$1</c:f>
              <c:strCache>
                <c:ptCount val="1"/>
                <c:pt idx="0">
                  <c:v>Fall 14—Spr 16</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3-9C05-4CFF-B4B2-1E31871746B2}"/>
              </c:ext>
            </c:extLst>
          </c:dPt>
          <c:dPt>
            <c:idx val="1"/>
            <c:invertIfNegative val="0"/>
            <c:bubble3D val="0"/>
            <c:extLst xmlns:c16r2="http://schemas.microsoft.com/office/drawing/2015/06/chart">
              <c:ext xmlns:c16="http://schemas.microsoft.com/office/drawing/2014/chart" uri="{C3380CC4-5D6E-409C-BE32-E72D297353CC}">
                <c16:uniqueId val="{00000004-9C05-4CFF-B4B2-1E31871746B2}"/>
              </c:ext>
            </c:extLst>
          </c:dPt>
          <c:dPt>
            <c:idx val="2"/>
            <c:invertIfNegative val="0"/>
            <c:bubble3D val="0"/>
            <c:extLst xmlns:c16r2="http://schemas.microsoft.com/office/drawing/2015/06/chart">
              <c:ext xmlns:c16="http://schemas.microsoft.com/office/drawing/2014/chart" uri="{C3380CC4-5D6E-409C-BE32-E72D297353CC}">
                <c16:uniqueId val="{00000005-9C05-4CFF-B4B2-1E31871746B2}"/>
              </c:ext>
            </c:extLst>
          </c:dPt>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0.64</c:v>
                </c:pt>
                <c:pt idx="1">
                  <c:v>0.43</c:v>
                </c:pt>
                <c:pt idx="2">
                  <c:v>0.3</c:v>
                </c:pt>
              </c:numCache>
            </c:numRef>
          </c:val>
          <c:extLst xmlns:c16r2="http://schemas.microsoft.com/office/drawing/2015/06/chart">
            <c:ext xmlns:c16="http://schemas.microsoft.com/office/drawing/2014/chart" uri="{C3380CC4-5D6E-409C-BE32-E72D297353CC}">
              <c16:uniqueId val="{00000006-9C05-4CFF-B4B2-1E31871746B2}"/>
            </c:ext>
          </c:extLst>
        </c:ser>
        <c:ser>
          <c:idx val="4"/>
          <c:order val="4"/>
          <c:tx>
            <c:strRef>
              <c:f>Sheet1!$F$1</c:f>
              <c:strCache>
                <c:ptCount val="1"/>
                <c:pt idx="0">
                  <c:v>Fall 15—Spr 17</c:v>
                </c:pt>
              </c:strCache>
            </c:strRef>
          </c:tx>
          <c:invertIfNegative val="0"/>
          <c:dLbls>
            <c:dLbl>
              <c:idx val="0"/>
              <c:layout>
                <c:manualLayout>
                  <c:x val="0"/>
                  <c:y val="1.13058224985867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45-4A9F-9246-7C518F47C866}"/>
                </c:ext>
                <c:ext xmlns:c15="http://schemas.microsoft.com/office/drawing/2012/chart" uri="{CE6537A1-D6FC-4f65-9D91-7224C49458BB}">
                  <c15:layout/>
                </c:ext>
              </c:extLst>
            </c:dLbl>
            <c:dLbl>
              <c:idx val="1"/>
              <c:layout>
                <c:manualLayout>
                  <c:x val="5.5452865064695009E-3"/>
                  <c:y val="-6.909033935386767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45-4A9F-9246-7C518F47C866}"/>
                </c:ext>
                <c:ext xmlns:c15="http://schemas.microsoft.com/office/drawing/2012/chart" uri="{CE6537A1-D6FC-4f65-9D91-7224C49458BB}">
                  <c15:layout/>
                </c:ext>
              </c:extLst>
            </c:dLbl>
            <c:dLbl>
              <c:idx val="2"/>
              <c:layout>
                <c:manualLayout>
                  <c:x val="3.6968576709796672E-3"/>
                  <c:y val="7.53721499905777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45-4A9F-9246-7C518F47C866}"/>
                </c:ext>
                <c:ext xmlns:c15="http://schemas.microsoft.com/office/drawing/2012/chart" uri="{CE6537A1-D6FC-4f65-9D91-7224C49458BB}">
                  <c15:layout/>
                </c:ext>
              </c:extLst>
            </c:dLbl>
            <c:spPr>
              <a:noFill/>
              <a:ln>
                <a:noFill/>
              </a:ln>
              <a:effectLst/>
            </c:spPr>
            <c:txPr>
              <a:bodyPr rot="-4200000" lIns="38100" tIns="19050" rIns="38100" bIns="19050">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0.7</c:v>
                </c:pt>
                <c:pt idx="1">
                  <c:v>0.51</c:v>
                </c:pt>
                <c:pt idx="2">
                  <c:v>0.26</c:v>
                </c:pt>
              </c:numCache>
            </c:numRef>
          </c:val>
          <c:extLst xmlns:c16r2="http://schemas.microsoft.com/office/drawing/2015/06/chart">
            <c:ext xmlns:c16="http://schemas.microsoft.com/office/drawing/2014/chart" uri="{C3380CC4-5D6E-409C-BE32-E72D297353CC}">
              <c16:uniqueId val="{00000003-1745-4A9F-9246-7C518F47C866}"/>
            </c:ext>
          </c:extLst>
        </c:ser>
        <c:dLbls>
          <c:showLegendKey val="0"/>
          <c:showVal val="0"/>
          <c:showCatName val="0"/>
          <c:showSerName val="0"/>
          <c:showPercent val="0"/>
          <c:showBubbleSize val="0"/>
        </c:dLbls>
        <c:gapWidth val="150"/>
        <c:axId val="237859096"/>
        <c:axId val="237859488"/>
      </c:barChart>
      <c:catAx>
        <c:axId val="237859096"/>
        <c:scaling>
          <c:orientation val="minMax"/>
        </c:scaling>
        <c:delete val="0"/>
        <c:axPos val="b"/>
        <c:numFmt formatCode="General" sourceLinked="0"/>
        <c:majorTickMark val="out"/>
        <c:minorTickMark val="none"/>
        <c:tickLblPos val="nextTo"/>
        <c:txPr>
          <a:bodyPr/>
          <a:lstStyle/>
          <a:p>
            <a:pPr>
              <a:defRPr>
                <a:latin typeface="Calibri" pitchFamily="34" charset="0"/>
              </a:defRPr>
            </a:pPr>
            <a:endParaRPr lang="en-US"/>
          </a:p>
        </c:txPr>
        <c:crossAx val="237859488"/>
        <c:crosses val="autoZero"/>
        <c:auto val="1"/>
        <c:lblAlgn val="ctr"/>
        <c:lblOffset val="100"/>
        <c:noMultiLvlLbl val="0"/>
      </c:catAx>
      <c:valAx>
        <c:axId val="237859488"/>
        <c:scaling>
          <c:orientation val="minMax"/>
          <c:max val="1"/>
          <c:min val="0"/>
        </c:scaling>
        <c:delete val="0"/>
        <c:axPos val="l"/>
        <c:majorGridlines>
          <c:spPr>
            <a:ln w="9525" cap="flat" cmpd="sng" algn="ctr">
              <a:solidFill>
                <a:schemeClr val="bg1">
                  <a:lumMod val="85000"/>
                </a:schemeClr>
              </a:solidFill>
              <a:prstDash val="solid"/>
            </a:ln>
            <a:effectLst/>
          </c:spPr>
        </c:majorGridlines>
        <c:numFmt formatCode="0%" sourceLinked="0"/>
        <c:majorTickMark val="out"/>
        <c:minorTickMark val="none"/>
        <c:tickLblPos val="nextTo"/>
        <c:txPr>
          <a:bodyPr/>
          <a:lstStyle/>
          <a:p>
            <a:pPr>
              <a:defRPr>
                <a:latin typeface="Calibri" pitchFamily="34" charset="0"/>
              </a:defRPr>
            </a:pPr>
            <a:endParaRPr lang="en-US"/>
          </a:p>
        </c:txPr>
        <c:crossAx val="237859096"/>
        <c:crosses val="autoZero"/>
        <c:crossBetween val="between"/>
      </c:valAx>
      <c:spPr>
        <a:ln>
          <a:noFill/>
        </a:ln>
      </c:spPr>
    </c:plotArea>
    <c:legend>
      <c:legendPos val="b"/>
      <c:layout>
        <c:manualLayout>
          <c:xMode val="edge"/>
          <c:yMode val="edge"/>
          <c:x val="0"/>
          <c:y val="0.95172888578300241"/>
          <c:w val="0.8001796032427555"/>
          <c:h val="4.8271114216997604E-2"/>
        </c:manualLayout>
      </c:layout>
      <c:overlay val="1"/>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050" u="heavy" baseline="0">
                <a:solidFill>
                  <a:schemeClr val="accent1"/>
                </a:solidFill>
                <a:uFill>
                  <a:solidFill>
                    <a:schemeClr val="accent1"/>
                  </a:solidFill>
                </a:uFill>
                <a:latin typeface="Calibri" pitchFamily="34" charset="0"/>
              </a:rPr>
              <a:t>Coastline</a:t>
            </a:r>
            <a:r>
              <a:rPr lang="en-US" sz="1050">
                <a:latin typeface="Calibri" pitchFamily="34" charset="0"/>
              </a:rPr>
              <a:t>   Math</a:t>
            </a:r>
            <a:r>
              <a:rPr lang="en-US" sz="1050" baseline="0">
                <a:latin typeface="Calibri" pitchFamily="34" charset="0"/>
              </a:rPr>
              <a:t> </a:t>
            </a:r>
            <a:r>
              <a:rPr lang="en-US" sz="1050">
                <a:latin typeface="Calibri" pitchFamily="34" charset="0"/>
              </a:rPr>
              <a:t>Basic Skills Students Progression to College Level within Two Years</a:t>
            </a:r>
          </a:p>
        </c:rich>
      </c:tx>
      <c:layout>
        <c:manualLayout>
          <c:xMode val="edge"/>
          <c:yMode val="edge"/>
          <c:x val="0.14107642794650668"/>
          <c:y val="0"/>
        </c:manualLayout>
      </c:layout>
      <c:overlay val="1"/>
    </c:title>
    <c:autoTitleDeleted val="0"/>
    <c:plotArea>
      <c:layout>
        <c:manualLayout>
          <c:layoutTarget val="inner"/>
          <c:xMode val="edge"/>
          <c:yMode val="edge"/>
          <c:x val="6.4781675017895488E-2"/>
          <c:y val="7.5432915814961921E-2"/>
          <c:w val="0.93521832498210455"/>
          <c:h val="0.72726913940731974"/>
        </c:manualLayout>
      </c:layout>
      <c:barChart>
        <c:barDir val="col"/>
        <c:grouping val="clustered"/>
        <c:varyColors val="0"/>
        <c:ser>
          <c:idx val="0"/>
          <c:order val="0"/>
          <c:tx>
            <c:strRef>
              <c:f>Sheet1!$B$1</c:f>
              <c:strCache>
                <c:ptCount val="1"/>
                <c:pt idx="0">
                  <c:v>Fall 11—Spr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0.63</c:v>
                </c:pt>
                <c:pt idx="1">
                  <c:v>0.33</c:v>
                </c:pt>
                <c:pt idx="2">
                  <c:v>0.09</c:v>
                </c:pt>
              </c:numCache>
            </c:numRef>
          </c:val>
          <c:extLst xmlns:c16r2="http://schemas.microsoft.com/office/drawing/2015/06/chart">
            <c:ext xmlns:c16="http://schemas.microsoft.com/office/drawing/2014/chart" uri="{C3380CC4-5D6E-409C-BE32-E72D297353CC}">
              <c16:uniqueId val="{00000000-A859-448C-A317-D488F94E93E9}"/>
            </c:ext>
          </c:extLst>
        </c:ser>
        <c:ser>
          <c:idx val="1"/>
          <c:order val="1"/>
          <c:tx>
            <c:strRef>
              <c:f>Sheet1!$C$1</c:f>
              <c:strCache>
                <c:ptCount val="1"/>
                <c:pt idx="0">
                  <c:v>Fall 12—Spr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0.66</c:v>
                </c:pt>
                <c:pt idx="1">
                  <c:v>0.4</c:v>
                </c:pt>
                <c:pt idx="2">
                  <c:v>0.09</c:v>
                </c:pt>
              </c:numCache>
            </c:numRef>
          </c:val>
          <c:extLst xmlns:c16r2="http://schemas.microsoft.com/office/drawing/2015/06/chart">
            <c:ext xmlns:c16="http://schemas.microsoft.com/office/drawing/2014/chart" uri="{C3380CC4-5D6E-409C-BE32-E72D297353CC}">
              <c16:uniqueId val="{00000001-A859-448C-A317-D488F94E93E9}"/>
            </c:ext>
          </c:extLst>
        </c:ser>
        <c:ser>
          <c:idx val="2"/>
          <c:order val="2"/>
          <c:tx>
            <c:strRef>
              <c:f>Sheet1!$D$1</c:f>
              <c:strCache>
                <c:ptCount val="1"/>
                <c:pt idx="0">
                  <c:v>Fall 13—Spr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0.63</c:v>
                </c:pt>
                <c:pt idx="1">
                  <c:v>0.39</c:v>
                </c:pt>
                <c:pt idx="2">
                  <c:v>0.11</c:v>
                </c:pt>
              </c:numCache>
            </c:numRef>
          </c:val>
          <c:extLst xmlns:c16r2="http://schemas.microsoft.com/office/drawing/2015/06/chart">
            <c:ext xmlns:c16="http://schemas.microsoft.com/office/drawing/2014/chart" uri="{C3380CC4-5D6E-409C-BE32-E72D297353CC}">
              <c16:uniqueId val="{00000002-A859-448C-A317-D488F94E93E9}"/>
            </c:ext>
          </c:extLst>
        </c:ser>
        <c:ser>
          <c:idx val="3"/>
          <c:order val="3"/>
          <c:tx>
            <c:strRef>
              <c:f>Sheet1!$E$1</c:f>
              <c:strCache>
                <c:ptCount val="1"/>
                <c:pt idx="0">
                  <c:v>Fall 14—Spr 16</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3-A859-448C-A317-D488F94E93E9}"/>
              </c:ext>
            </c:extLst>
          </c:dPt>
          <c:dPt>
            <c:idx val="1"/>
            <c:invertIfNegative val="0"/>
            <c:bubble3D val="0"/>
            <c:extLst xmlns:c16r2="http://schemas.microsoft.com/office/drawing/2015/06/chart">
              <c:ext xmlns:c16="http://schemas.microsoft.com/office/drawing/2014/chart" uri="{C3380CC4-5D6E-409C-BE32-E72D297353CC}">
                <c16:uniqueId val="{00000004-A859-448C-A317-D488F94E93E9}"/>
              </c:ext>
            </c:extLst>
          </c:dPt>
          <c:dPt>
            <c:idx val="2"/>
            <c:invertIfNegative val="0"/>
            <c:bubble3D val="0"/>
            <c:extLst xmlns:c16r2="http://schemas.microsoft.com/office/drawing/2015/06/chart">
              <c:ext xmlns:c16="http://schemas.microsoft.com/office/drawing/2014/chart" uri="{C3380CC4-5D6E-409C-BE32-E72D297353CC}">
                <c16:uniqueId val="{00000005-A859-448C-A317-D488F94E93E9}"/>
              </c:ext>
            </c:extLst>
          </c:dPt>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0.56000000000000005</c:v>
                </c:pt>
                <c:pt idx="1">
                  <c:v>0.35</c:v>
                </c:pt>
                <c:pt idx="2">
                  <c:v>0.11</c:v>
                </c:pt>
              </c:numCache>
            </c:numRef>
          </c:val>
          <c:extLst xmlns:c16r2="http://schemas.microsoft.com/office/drawing/2015/06/chart">
            <c:ext xmlns:c16="http://schemas.microsoft.com/office/drawing/2014/chart" uri="{C3380CC4-5D6E-409C-BE32-E72D297353CC}">
              <c16:uniqueId val="{00000006-A859-448C-A317-D488F94E93E9}"/>
            </c:ext>
          </c:extLst>
        </c:ser>
        <c:ser>
          <c:idx val="4"/>
          <c:order val="4"/>
          <c:tx>
            <c:strRef>
              <c:f>Sheet1!$F$1</c:f>
              <c:strCache>
                <c:ptCount val="1"/>
                <c:pt idx="0">
                  <c:v>Fall 15—Spr 17</c:v>
                </c:pt>
              </c:strCache>
            </c:strRef>
          </c:tx>
          <c:invertIfNegative val="0"/>
          <c:dLbls>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0.57999999999999996</c:v>
                </c:pt>
                <c:pt idx="1">
                  <c:v>0.32</c:v>
                </c:pt>
                <c:pt idx="2">
                  <c:v>0.08</c:v>
                </c:pt>
              </c:numCache>
            </c:numRef>
          </c:val>
          <c:extLst xmlns:c16r2="http://schemas.microsoft.com/office/drawing/2015/06/chart">
            <c:ext xmlns:c16="http://schemas.microsoft.com/office/drawing/2014/chart" uri="{C3380CC4-5D6E-409C-BE32-E72D297353CC}">
              <c16:uniqueId val="{00000003-2A44-40E7-9596-45B8E577F108}"/>
            </c:ext>
          </c:extLst>
        </c:ser>
        <c:dLbls>
          <c:showLegendKey val="0"/>
          <c:showVal val="0"/>
          <c:showCatName val="0"/>
          <c:showSerName val="0"/>
          <c:showPercent val="0"/>
          <c:showBubbleSize val="0"/>
        </c:dLbls>
        <c:gapWidth val="150"/>
        <c:axId val="237134144"/>
        <c:axId val="237134536"/>
      </c:barChart>
      <c:catAx>
        <c:axId val="237134144"/>
        <c:scaling>
          <c:orientation val="minMax"/>
        </c:scaling>
        <c:delete val="0"/>
        <c:axPos val="b"/>
        <c:numFmt formatCode="General" sourceLinked="0"/>
        <c:majorTickMark val="out"/>
        <c:minorTickMark val="none"/>
        <c:tickLblPos val="nextTo"/>
        <c:txPr>
          <a:bodyPr/>
          <a:lstStyle/>
          <a:p>
            <a:pPr>
              <a:defRPr>
                <a:latin typeface="Calibri" pitchFamily="34" charset="0"/>
              </a:defRPr>
            </a:pPr>
            <a:endParaRPr lang="en-US"/>
          </a:p>
        </c:txPr>
        <c:crossAx val="237134536"/>
        <c:crosses val="autoZero"/>
        <c:auto val="1"/>
        <c:lblAlgn val="ctr"/>
        <c:lblOffset val="100"/>
        <c:noMultiLvlLbl val="0"/>
      </c:catAx>
      <c:valAx>
        <c:axId val="237134536"/>
        <c:scaling>
          <c:orientation val="minMax"/>
          <c:max val="1"/>
          <c:min val="0"/>
        </c:scaling>
        <c:delete val="0"/>
        <c:axPos val="l"/>
        <c:majorGridlines>
          <c:spPr>
            <a:ln>
              <a:solidFill>
                <a:sysClr val="window" lastClr="FFFFFF">
                  <a:lumMod val="85000"/>
                </a:sysClr>
              </a:solidFill>
            </a:ln>
          </c:spPr>
        </c:majorGridlines>
        <c:numFmt formatCode="0%" sourceLinked="0"/>
        <c:majorTickMark val="out"/>
        <c:minorTickMark val="none"/>
        <c:tickLblPos val="nextTo"/>
        <c:spPr>
          <a:ln w="3175">
            <a:solidFill>
              <a:schemeClr val="tx1">
                <a:lumMod val="95000"/>
                <a:lumOff val="5000"/>
              </a:schemeClr>
            </a:solidFill>
          </a:ln>
        </c:spPr>
        <c:txPr>
          <a:bodyPr/>
          <a:lstStyle/>
          <a:p>
            <a:pPr>
              <a:defRPr>
                <a:latin typeface="Calibri" pitchFamily="34" charset="0"/>
              </a:defRPr>
            </a:pPr>
            <a:endParaRPr lang="en-US"/>
          </a:p>
        </c:txPr>
        <c:crossAx val="237134144"/>
        <c:crosses val="autoZero"/>
        <c:crossBetween val="between"/>
      </c:valAx>
    </c:plotArea>
    <c:legend>
      <c:legendPos val="b"/>
      <c:layout>
        <c:manualLayout>
          <c:xMode val="edge"/>
          <c:yMode val="edge"/>
          <c:x val="0.10277492291880781"/>
          <c:y val="0.95172878258341298"/>
          <c:w val="0.80892677820112247"/>
          <c:h val="4.8271217416587055E-2"/>
        </c:manualLayout>
      </c:layout>
      <c:overlay val="1"/>
      <c:spPr>
        <a:ln>
          <a:noFill/>
        </a:ln>
      </c:spPr>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000" u="heavy" baseline="0">
                <a:solidFill>
                  <a:schemeClr val="accent5"/>
                </a:solidFill>
                <a:uFill>
                  <a:solidFill>
                    <a:schemeClr val="accent3">
                      <a:lumMod val="75000"/>
                    </a:schemeClr>
                  </a:solidFill>
                </a:uFill>
                <a:latin typeface="Calibri" pitchFamily="34" charset="0"/>
                <a:cs typeface="Arial" pitchFamily="34" charset="0"/>
              </a:rPr>
              <a:t>Golden West</a:t>
            </a:r>
            <a:r>
              <a:rPr lang="en-US" sz="1000">
                <a:solidFill>
                  <a:schemeClr val="accent5"/>
                </a:solidFill>
                <a:latin typeface="Calibri" pitchFamily="34" charset="0"/>
                <a:cs typeface="Arial" pitchFamily="34" charset="0"/>
              </a:rPr>
              <a:t>   </a:t>
            </a:r>
            <a:r>
              <a:rPr lang="en-US" sz="1000">
                <a:latin typeface="Calibri" pitchFamily="34" charset="0"/>
                <a:cs typeface="Arial" pitchFamily="34" charset="0"/>
              </a:rPr>
              <a:t>Math Basic Skills Students </a:t>
            </a:r>
            <a:r>
              <a:rPr lang="en-US" sz="1000" b="1" i="0" u="none" strike="noStrike" baseline="0">
                <a:effectLst/>
                <a:latin typeface="Calibri" panose="020F0502020204030204" pitchFamily="34" charset="0"/>
              </a:rPr>
              <a:t>Progression</a:t>
            </a:r>
            <a:r>
              <a:rPr lang="en-US" sz="1000">
                <a:latin typeface="Calibri" pitchFamily="34" charset="0"/>
                <a:cs typeface="Arial" pitchFamily="34" charset="0"/>
              </a:rPr>
              <a:t> to College Level within Two Years</a:t>
            </a:r>
          </a:p>
        </c:rich>
      </c:tx>
      <c:layout>
        <c:manualLayout>
          <c:xMode val="edge"/>
          <c:yMode val="edge"/>
          <c:x val="0.14270341207349083"/>
          <c:y val="0"/>
        </c:manualLayout>
      </c:layout>
      <c:overlay val="1"/>
      <c:spPr>
        <a:noFill/>
        <a:ln>
          <a:noFill/>
        </a:ln>
        <a:effectLst/>
      </c:spPr>
    </c:title>
    <c:autoTitleDeleted val="0"/>
    <c:plotArea>
      <c:layout>
        <c:manualLayout>
          <c:layoutTarget val="inner"/>
          <c:xMode val="edge"/>
          <c:yMode val="edge"/>
          <c:x val="6.2570297673284855E-2"/>
          <c:y val="7.5432915814961921E-2"/>
          <c:w val="0.93742968851458752"/>
          <c:h val="0.72726913940731974"/>
        </c:manualLayout>
      </c:layout>
      <c:barChart>
        <c:barDir val="col"/>
        <c:grouping val="clustered"/>
        <c:varyColors val="0"/>
        <c:ser>
          <c:idx val="0"/>
          <c:order val="0"/>
          <c:tx>
            <c:strRef>
              <c:f>Sheet1!$B$1</c:f>
              <c:strCache>
                <c:ptCount val="1"/>
                <c:pt idx="0">
                  <c:v>Fall 11—Spr 13</c:v>
                </c:pt>
              </c:strCache>
            </c:strRef>
          </c:tx>
          <c:spPr>
            <a:solidFill>
              <a:schemeClr val="accent5">
                <a:shade val="53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0.44</c:v>
                </c:pt>
                <c:pt idx="1">
                  <c:v>0.25</c:v>
                </c:pt>
                <c:pt idx="2">
                  <c:v>0.09</c:v>
                </c:pt>
              </c:numCache>
            </c:numRef>
          </c:val>
          <c:extLst xmlns:c16r2="http://schemas.microsoft.com/office/drawing/2015/06/chart">
            <c:ext xmlns:c16="http://schemas.microsoft.com/office/drawing/2014/chart" uri="{C3380CC4-5D6E-409C-BE32-E72D297353CC}">
              <c16:uniqueId val="{00000000-2563-4DCE-9B37-4C15AA1299C0}"/>
            </c:ext>
          </c:extLst>
        </c:ser>
        <c:ser>
          <c:idx val="1"/>
          <c:order val="1"/>
          <c:tx>
            <c:strRef>
              <c:f>Sheet1!$C$1</c:f>
              <c:strCache>
                <c:ptCount val="1"/>
                <c:pt idx="0">
                  <c:v>Fall 12—Spr 14</c:v>
                </c:pt>
              </c:strCache>
            </c:strRef>
          </c:tx>
          <c:spPr>
            <a:solidFill>
              <a:schemeClr val="accent5">
                <a:shade val="76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0.49</c:v>
                </c:pt>
                <c:pt idx="1">
                  <c:v>0.26</c:v>
                </c:pt>
                <c:pt idx="2">
                  <c:v>0.11</c:v>
                </c:pt>
              </c:numCache>
            </c:numRef>
          </c:val>
          <c:extLst xmlns:c16r2="http://schemas.microsoft.com/office/drawing/2015/06/chart">
            <c:ext xmlns:c16="http://schemas.microsoft.com/office/drawing/2014/chart" uri="{C3380CC4-5D6E-409C-BE32-E72D297353CC}">
              <c16:uniqueId val="{00000001-2563-4DCE-9B37-4C15AA1299C0}"/>
            </c:ext>
          </c:extLst>
        </c:ser>
        <c:ser>
          <c:idx val="2"/>
          <c:order val="2"/>
          <c:tx>
            <c:strRef>
              <c:f>Sheet1!$D$1</c:f>
              <c:strCache>
                <c:ptCount val="1"/>
                <c:pt idx="0">
                  <c:v>Fall 13—Spr 15</c:v>
                </c:pt>
              </c:strCache>
            </c:strRef>
          </c:tx>
          <c:spPr>
            <a:solidFill>
              <a:schemeClr val="accent5"/>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0.4</c:v>
                </c:pt>
                <c:pt idx="1">
                  <c:v>0.25</c:v>
                </c:pt>
                <c:pt idx="2">
                  <c:v>0.12</c:v>
                </c:pt>
              </c:numCache>
            </c:numRef>
          </c:val>
          <c:extLst xmlns:c16r2="http://schemas.microsoft.com/office/drawing/2015/06/chart">
            <c:ext xmlns:c16="http://schemas.microsoft.com/office/drawing/2014/chart" uri="{C3380CC4-5D6E-409C-BE32-E72D297353CC}">
              <c16:uniqueId val="{00000002-2563-4DCE-9B37-4C15AA1299C0}"/>
            </c:ext>
          </c:extLst>
        </c:ser>
        <c:ser>
          <c:idx val="3"/>
          <c:order val="3"/>
          <c:tx>
            <c:strRef>
              <c:f>Sheet1!$E$1</c:f>
              <c:strCache>
                <c:ptCount val="1"/>
                <c:pt idx="0">
                  <c:v>Fall 14—Spr 16</c:v>
                </c:pt>
              </c:strCache>
            </c:strRef>
          </c:tx>
          <c:spPr>
            <a:solidFill>
              <a:schemeClr val="accent5">
                <a:tint val="77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2563-4DCE-9B37-4C15AA1299C0}"/>
              </c:ext>
            </c:extLst>
          </c:dPt>
          <c:dPt>
            <c:idx val="1"/>
            <c:invertIfNegative val="0"/>
            <c:bubble3D val="0"/>
            <c:extLst xmlns:c16r2="http://schemas.microsoft.com/office/drawing/2015/06/chart">
              <c:ext xmlns:c16="http://schemas.microsoft.com/office/drawing/2014/chart" uri="{C3380CC4-5D6E-409C-BE32-E72D297353CC}">
                <c16:uniqueId val="{00000004-2563-4DCE-9B37-4C15AA1299C0}"/>
              </c:ext>
            </c:extLst>
          </c:dPt>
          <c:dPt>
            <c:idx val="2"/>
            <c:invertIfNegative val="0"/>
            <c:bubble3D val="0"/>
            <c:extLst xmlns:c16r2="http://schemas.microsoft.com/office/drawing/2015/06/chart">
              <c:ext xmlns:c16="http://schemas.microsoft.com/office/drawing/2014/chart" uri="{C3380CC4-5D6E-409C-BE32-E72D297353CC}">
                <c16:uniqueId val="{00000005-2563-4DCE-9B37-4C15AA1299C0}"/>
              </c:ext>
            </c:extLst>
          </c:dPt>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0.47</c:v>
                </c:pt>
                <c:pt idx="1">
                  <c:v>0.27</c:v>
                </c:pt>
                <c:pt idx="2">
                  <c:v>0.11</c:v>
                </c:pt>
              </c:numCache>
            </c:numRef>
          </c:val>
          <c:extLst xmlns:c16r2="http://schemas.microsoft.com/office/drawing/2015/06/chart">
            <c:ext xmlns:c16="http://schemas.microsoft.com/office/drawing/2014/chart" uri="{C3380CC4-5D6E-409C-BE32-E72D297353CC}">
              <c16:uniqueId val="{00000006-2563-4DCE-9B37-4C15AA1299C0}"/>
            </c:ext>
          </c:extLst>
        </c:ser>
        <c:ser>
          <c:idx val="4"/>
          <c:order val="4"/>
          <c:tx>
            <c:strRef>
              <c:f>Sheet1!$F$1</c:f>
              <c:strCache>
                <c:ptCount val="1"/>
                <c:pt idx="0">
                  <c:v>Fall 15—Spr 17</c:v>
                </c:pt>
              </c:strCache>
            </c:strRef>
          </c:tx>
          <c:invertIfNegative val="0"/>
          <c:dLbls>
            <c:dLbl>
              <c:idx val="0"/>
              <c:layout>
                <c:manualLayout>
                  <c:x val="-3.3784431120517444E-17"/>
                  <c:y val="1.5071590052750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27-4C40-BA22-27B419FBE5E7}"/>
                </c:ext>
                <c:ext xmlns:c15="http://schemas.microsoft.com/office/drawing/2012/chart" uri="{CE6537A1-D6FC-4f65-9D91-7224C49458BB}">
                  <c15:layout/>
                </c:ext>
              </c:extLst>
            </c:dLbl>
            <c:dLbl>
              <c:idx val="1"/>
              <c:layout>
                <c:manualLayout>
                  <c:x val="0"/>
                  <c:y val="1.50715900527505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27-4C40-BA22-27B419FBE5E7}"/>
                </c:ext>
                <c:ext xmlns:c15="http://schemas.microsoft.com/office/drawing/2012/chart" uri="{CE6537A1-D6FC-4f65-9D91-7224C49458BB}">
                  <c15:layout/>
                </c:ext>
              </c:extLst>
            </c:dLbl>
            <c:dLbl>
              <c:idx val="2"/>
              <c:layout>
                <c:manualLayout>
                  <c:x val="1.8428084400625203E-3"/>
                  <c:y val="3.7678975131876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27-4C40-BA22-27B419FBE5E7}"/>
                </c:ext>
                <c:ext xmlns:c15="http://schemas.microsoft.com/office/drawing/2012/chart" uri="{CE6537A1-D6FC-4f65-9D91-7224C49458BB}">
                  <c15:layout/>
                </c:ext>
              </c:extLst>
            </c:dLbl>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0.61</c:v>
                </c:pt>
                <c:pt idx="1">
                  <c:v>0.34</c:v>
                </c:pt>
                <c:pt idx="2">
                  <c:v>0.14000000000000001</c:v>
                </c:pt>
              </c:numCache>
            </c:numRef>
          </c:val>
          <c:extLst xmlns:c16r2="http://schemas.microsoft.com/office/drawing/2015/06/chart">
            <c:ext xmlns:c16="http://schemas.microsoft.com/office/drawing/2014/chart" uri="{C3380CC4-5D6E-409C-BE32-E72D297353CC}">
              <c16:uniqueId val="{00000003-BD27-4C40-BA22-27B419FBE5E7}"/>
            </c:ext>
          </c:extLst>
        </c:ser>
        <c:dLbls>
          <c:showLegendKey val="0"/>
          <c:showVal val="0"/>
          <c:showCatName val="0"/>
          <c:showSerName val="0"/>
          <c:showPercent val="0"/>
          <c:showBubbleSize val="0"/>
        </c:dLbls>
        <c:gapWidth val="150"/>
        <c:axId val="237135320"/>
        <c:axId val="237135712"/>
      </c:barChart>
      <c:catAx>
        <c:axId val="23713532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7135712"/>
        <c:crosses val="autoZero"/>
        <c:auto val="1"/>
        <c:lblAlgn val="ctr"/>
        <c:lblOffset val="100"/>
        <c:noMultiLvlLbl val="0"/>
      </c:catAx>
      <c:valAx>
        <c:axId val="237135712"/>
        <c:scaling>
          <c:orientation val="minMax"/>
          <c:max val="1"/>
          <c:min val="0"/>
        </c:scaling>
        <c:delete val="0"/>
        <c:axPos val="l"/>
        <c:majorGridlines>
          <c:spPr>
            <a:ln w="9525" cap="flat" cmpd="sng" algn="ctr">
              <a:solidFill>
                <a:sysClr val="window" lastClr="FFFFFF">
                  <a:lumMod val="85000"/>
                </a:sys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7135320"/>
        <c:crosses val="autoZero"/>
        <c:crossBetween val="between"/>
      </c:valAx>
      <c:spPr>
        <a:solidFill>
          <a:schemeClr val="bg1"/>
        </a:solidFill>
        <a:ln>
          <a:noFill/>
        </a:ln>
        <a:effectLst/>
      </c:spPr>
    </c:plotArea>
    <c:legend>
      <c:legendPos val="b"/>
      <c:layout>
        <c:manualLayout>
          <c:xMode val="edge"/>
          <c:yMode val="edge"/>
          <c:x val="0"/>
          <c:y val="0.95172888578300241"/>
          <c:w val="0.79774654999415961"/>
          <c:h val="4.827121741658705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00">
                <a:latin typeface="Calibri" pitchFamily="34" charset="0"/>
              </a:defRPr>
            </a:pPr>
            <a:r>
              <a:rPr lang="en-US" sz="1000" u="heavy" baseline="0">
                <a:solidFill>
                  <a:schemeClr val="accent6">
                    <a:lumMod val="75000"/>
                  </a:schemeClr>
                </a:solidFill>
                <a:uFill>
                  <a:solidFill>
                    <a:schemeClr val="accent6">
                      <a:lumMod val="75000"/>
                    </a:schemeClr>
                  </a:solidFill>
                </a:uFill>
                <a:latin typeface="Calibri" pitchFamily="34" charset="0"/>
              </a:rPr>
              <a:t>Orange Coast</a:t>
            </a:r>
            <a:r>
              <a:rPr lang="en-US" sz="1000">
                <a:latin typeface="Calibri" pitchFamily="34" charset="0"/>
              </a:rPr>
              <a:t>   Math Basic Skills Students </a:t>
            </a:r>
            <a:r>
              <a:rPr lang="en-US" sz="1000" b="1" i="0" u="none" strike="noStrike" baseline="0">
                <a:effectLst/>
              </a:rPr>
              <a:t>Progression</a:t>
            </a:r>
            <a:r>
              <a:rPr lang="en-US" sz="1000">
                <a:latin typeface="Calibri" pitchFamily="34" charset="0"/>
              </a:rPr>
              <a:t> to College Level within Two Years</a:t>
            </a:r>
          </a:p>
        </c:rich>
      </c:tx>
      <c:layout>
        <c:manualLayout>
          <c:xMode val="edge"/>
          <c:yMode val="edge"/>
          <c:x val="0.13879952505936757"/>
          <c:y val="0"/>
        </c:manualLayout>
      </c:layout>
      <c:overlay val="1"/>
    </c:title>
    <c:autoTitleDeleted val="0"/>
    <c:plotArea>
      <c:layout>
        <c:manualLayout>
          <c:layoutTarget val="inner"/>
          <c:xMode val="edge"/>
          <c:yMode val="edge"/>
          <c:x val="6.2349741231530482E-2"/>
          <c:y val="8.6751564194667868E-2"/>
          <c:w val="0.93765032377428303"/>
          <c:h val="0.72726913940731974"/>
        </c:manualLayout>
      </c:layout>
      <c:barChart>
        <c:barDir val="col"/>
        <c:grouping val="clustered"/>
        <c:varyColors val="0"/>
        <c:ser>
          <c:idx val="0"/>
          <c:order val="0"/>
          <c:tx>
            <c:strRef>
              <c:f>Sheet1!$B$1</c:f>
              <c:strCache>
                <c:ptCount val="1"/>
                <c:pt idx="0">
                  <c:v>Fall 11—Spr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0.56999999999999995</c:v>
                </c:pt>
                <c:pt idx="1">
                  <c:v>0.3</c:v>
                </c:pt>
                <c:pt idx="2">
                  <c:v>0.1</c:v>
                </c:pt>
              </c:numCache>
            </c:numRef>
          </c:val>
          <c:extLst xmlns:c16r2="http://schemas.microsoft.com/office/drawing/2015/06/chart">
            <c:ext xmlns:c16="http://schemas.microsoft.com/office/drawing/2014/chart" uri="{C3380CC4-5D6E-409C-BE32-E72D297353CC}">
              <c16:uniqueId val="{00000000-CB3E-4876-9B10-68813A0857FA}"/>
            </c:ext>
          </c:extLst>
        </c:ser>
        <c:ser>
          <c:idx val="1"/>
          <c:order val="1"/>
          <c:tx>
            <c:strRef>
              <c:f>Sheet1!$C$1</c:f>
              <c:strCache>
                <c:ptCount val="1"/>
                <c:pt idx="0">
                  <c:v>Fall 12—Spr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0.56000000000000005</c:v>
                </c:pt>
                <c:pt idx="1">
                  <c:v>0.31</c:v>
                </c:pt>
                <c:pt idx="2">
                  <c:v>0.12</c:v>
                </c:pt>
              </c:numCache>
            </c:numRef>
          </c:val>
          <c:extLst xmlns:c16r2="http://schemas.microsoft.com/office/drawing/2015/06/chart">
            <c:ext xmlns:c16="http://schemas.microsoft.com/office/drawing/2014/chart" uri="{C3380CC4-5D6E-409C-BE32-E72D297353CC}">
              <c16:uniqueId val="{00000001-CB3E-4876-9B10-68813A0857FA}"/>
            </c:ext>
          </c:extLst>
        </c:ser>
        <c:ser>
          <c:idx val="2"/>
          <c:order val="2"/>
          <c:tx>
            <c:strRef>
              <c:f>Sheet1!$D$1</c:f>
              <c:strCache>
                <c:ptCount val="1"/>
                <c:pt idx="0">
                  <c:v>Fall 13—Spr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0.61</c:v>
                </c:pt>
                <c:pt idx="1">
                  <c:v>0.32</c:v>
                </c:pt>
                <c:pt idx="2">
                  <c:v>0.15</c:v>
                </c:pt>
              </c:numCache>
            </c:numRef>
          </c:val>
          <c:extLst xmlns:c16r2="http://schemas.microsoft.com/office/drawing/2015/06/chart">
            <c:ext xmlns:c16="http://schemas.microsoft.com/office/drawing/2014/chart" uri="{C3380CC4-5D6E-409C-BE32-E72D297353CC}">
              <c16:uniqueId val="{00000002-CB3E-4876-9B10-68813A0857FA}"/>
            </c:ext>
          </c:extLst>
        </c:ser>
        <c:ser>
          <c:idx val="3"/>
          <c:order val="3"/>
          <c:tx>
            <c:strRef>
              <c:f>Sheet1!$E$1</c:f>
              <c:strCache>
                <c:ptCount val="1"/>
                <c:pt idx="0">
                  <c:v>Fall 14—Spr 16</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3-CB3E-4876-9B10-68813A0857FA}"/>
              </c:ext>
            </c:extLst>
          </c:dPt>
          <c:dPt>
            <c:idx val="1"/>
            <c:invertIfNegative val="0"/>
            <c:bubble3D val="0"/>
            <c:extLst xmlns:c16r2="http://schemas.microsoft.com/office/drawing/2015/06/chart">
              <c:ext xmlns:c16="http://schemas.microsoft.com/office/drawing/2014/chart" uri="{C3380CC4-5D6E-409C-BE32-E72D297353CC}">
                <c16:uniqueId val="{00000004-CB3E-4876-9B10-68813A0857FA}"/>
              </c:ext>
            </c:extLst>
          </c:dPt>
          <c:dPt>
            <c:idx val="2"/>
            <c:invertIfNegative val="0"/>
            <c:bubble3D val="0"/>
            <c:extLst xmlns:c16r2="http://schemas.microsoft.com/office/drawing/2015/06/chart">
              <c:ext xmlns:c16="http://schemas.microsoft.com/office/drawing/2014/chart" uri="{C3380CC4-5D6E-409C-BE32-E72D297353CC}">
                <c16:uniqueId val="{00000005-CB3E-4876-9B10-68813A0857FA}"/>
              </c:ext>
            </c:extLst>
          </c:dPt>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0.59</c:v>
                </c:pt>
                <c:pt idx="1">
                  <c:v>0.31</c:v>
                </c:pt>
                <c:pt idx="2">
                  <c:v>0.16</c:v>
                </c:pt>
              </c:numCache>
            </c:numRef>
          </c:val>
          <c:extLst xmlns:c16r2="http://schemas.microsoft.com/office/drawing/2015/06/chart">
            <c:ext xmlns:c16="http://schemas.microsoft.com/office/drawing/2014/chart" uri="{C3380CC4-5D6E-409C-BE32-E72D297353CC}">
              <c16:uniqueId val="{00000006-CB3E-4876-9B10-68813A0857FA}"/>
            </c:ext>
          </c:extLst>
        </c:ser>
        <c:ser>
          <c:idx val="4"/>
          <c:order val="4"/>
          <c:tx>
            <c:strRef>
              <c:f>Sheet1!$F$1</c:f>
              <c:strCache>
                <c:ptCount val="1"/>
                <c:pt idx="0">
                  <c:v>Fall 15—Spr 17</c:v>
                </c:pt>
              </c:strCache>
            </c:strRef>
          </c:tx>
          <c:invertIfNegative val="0"/>
          <c:dLbls>
            <c:dLbl>
              <c:idx val="0"/>
              <c:layout>
                <c:manualLayout>
                  <c:x val="3.700277520814027E-3"/>
                  <c:y val="3.7678975131876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51-4042-8DA2-1540A8A98EF6}"/>
                </c:ext>
                <c:ext xmlns:c15="http://schemas.microsoft.com/office/drawing/2012/chart" uri="{CE6537A1-D6FC-4f65-9D91-7224C49458BB}"/>
              </c:extLst>
            </c:dLbl>
            <c:dLbl>
              <c:idx val="2"/>
              <c:layout>
                <c:manualLayout>
                  <c:x val="1.8501387604068949E-3"/>
                  <c:y val="1.13036925395629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51-4042-8DA2-1540A8A98EF6}"/>
                </c:ext>
                <c:ext xmlns:c15="http://schemas.microsoft.com/office/drawing/2012/chart" uri="{CE6537A1-D6FC-4f65-9D91-7224C49458BB}"/>
              </c:extLst>
            </c:dLbl>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0.54</c:v>
                </c:pt>
                <c:pt idx="1">
                  <c:v>0.31</c:v>
                </c:pt>
                <c:pt idx="2">
                  <c:v>0.14000000000000001</c:v>
                </c:pt>
              </c:numCache>
            </c:numRef>
          </c:val>
          <c:extLst xmlns:c16r2="http://schemas.microsoft.com/office/drawing/2015/06/chart">
            <c:ext xmlns:c16="http://schemas.microsoft.com/office/drawing/2014/chart" uri="{C3380CC4-5D6E-409C-BE32-E72D297353CC}">
              <c16:uniqueId val="{00000003-5651-4042-8DA2-1540A8A98EF6}"/>
            </c:ext>
          </c:extLst>
        </c:ser>
        <c:dLbls>
          <c:showLegendKey val="0"/>
          <c:showVal val="0"/>
          <c:showCatName val="0"/>
          <c:showSerName val="0"/>
          <c:showPercent val="0"/>
          <c:showBubbleSize val="0"/>
        </c:dLbls>
        <c:gapWidth val="150"/>
        <c:axId val="237136104"/>
        <c:axId val="237136496"/>
      </c:barChart>
      <c:catAx>
        <c:axId val="237136104"/>
        <c:scaling>
          <c:orientation val="minMax"/>
        </c:scaling>
        <c:delete val="0"/>
        <c:axPos val="b"/>
        <c:numFmt formatCode="General" sourceLinked="0"/>
        <c:majorTickMark val="out"/>
        <c:minorTickMark val="none"/>
        <c:tickLblPos val="nextTo"/>
        <c:txPr>
          <a:bodyPr/>
          <a:lstStyle/>
          <a:p>
            <a:pPr>
              <a:defRPr>
                <a:latin typeface="Calibri" pitchFamily="34" charset="0"/>
              </a:defRPr>
            </a:pPr>
            <a:endParaRPr lang="en-US"/>
          </a:p>
        </c:txPr>
        <c:crossAx val="237136496"/>
        <c:crosses val="autoZero"/>
        <c:auto val="1"/>
        <c:lblAlgn val="ctr"/>
        <c:lblOffset val="100"/>
        <c:noMultiLvlLbl val="0"/>
      </c:catAx>
      <c:valAx>
        <c:axId val="237136496"/>
        <c:scaling>
          <c:orientation val="minMax"/>
          <c:max val="1"/>
          <c:min val="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37136104"/>
        <c:crosses val="autoZero"/>
        <c:crossBetween val="between"/>
      </c:valAx>
    </c:plotArea>
    <c:legend>
      <c:legendPos val="b"/>
      <c:layout>
        <c:manualLayout>
          <c:xMode val="edge"/>
          <c:yMode val="edge"/>
          <c:x val="0"/>
          <c:y val="0.95172888578300241"/>
          <c:w val="0.80091982489237878"/>
          <c:h val="4.8271217416587055E-2"/>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000" u="heavy" baseline="0">
                <a:solidFill>
                  <a:schemeClr val="accent5"/>
                </a:solidFill>
                <a:uFill>
                  <a:solidFill>
                    <a:schemeClr val="accent3">
                      <a:lumMod val="75000"/>
                    </a:schemeClr>
                  </a:solidFill>
                </a:uFill>
                <a:latin typeface="Calibri" pitchFamily="34" charset="0"/>
                <a:cs typeface="Arial" pitchFamily="34" charset="0"/>
              </a:rPr>
              <a:t>Golden West</a:t>
            </a:r>
            <a:r>
              <a:rPr lang="en-US" sz="1000">
                <a:solidFill>
                  <a:schemeClr val="accent5"/>
                </a:solidFill>
                <a:latin typeface="Calibri" pitchFamily="34" charset="0"/>
                <a:cs typeface="Arial" pitchFamily="34" charset="0"/>
              </a:rPr>
              <a:t>   </a:t>
            </a:r>
            <a:r>
              <a:rPr lang="en-US" sz="1000">
                <a:latin typeface="Calibri" pitchFamily="34" charset="0"/>
                <a:cs typeface="Arial" pitchFamily="34" charset="0"/>
              </a:rPr>
              <a:t>ESL Basic Skills Students Progression to College Level within Two Years</a:t>
            </a:r>
          </a:p>
        </c:rich>
      </c:tx>
      <c:layout>
        <c:manualLayout>
          <c:xMode val="edge"/>
          <c:yMode val="edge"/>
          <c:x val="0.1513045244344457"/>
          <c:y val="0"/>
        </c:manualLayout>
      </c:layout>
      <c:overlay val="1"/>
      <c:spPr>
        <a:noFill/>
        <a:ln>
          <a:noFill/>
        </a:ln>
        <a:effectLst/>
      </c:spPr>
    </c:title>
    <c:autoTitleDeleted val="0"/>
    <c:plotArea>
      <c:layout>
        <c:manualLayout>
          <c:layoutTarget val="inner"/>
          <c:xMode val="edge"/>
          <c:yMode val="edge"/>
          <c:x val="6.1423761409720022E-2"/>
          <c:y val="7.5432915814961921E-2"/>
          <c:w val="0.9385747951215988"/>
          <c:h val="0.72726913940731974"/>
        </c:manualLayout>
      </c:layout>
      <c:barChart>
        <c:barDir val="col"/>
        <c:grouping val="clustered"/>
        <c:varyColors val="0"/>
        <c:ser>
          <c:idx val="0"/>
          <c:order val="0"/>
          <c:tx>
            <c:strRef>
              <c:f>Sheet1!$B$1</c:f>
              <c:strCache>
                <c:ptCount val="1"/>
                <c:pt idx="0">
                  <c:v>Fall 11—Spr 13</c:v>
                </c:pt>
              </c:strCache>
            </c:strRef>
          </c:tx>
          <c:spPr>
            <a:solidFill>
              <a:schemeClr val="accent5">
                <a:shade val="53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0.81</c:v>
                </c:pt>
                <c:pt idx="1">
                  <c:v>0.72</c:v>
                </c:pt>
                <c:pt idx="2">
                  <c:v>0.41</c:v>
                </c:pt>
              </c:numCache>
            </c:numRef>
          </c:val>
          <c:extLst xmlns:c16r2="http://schemas.microsoft.com/office/drawing/2015/06/chart">
            <c:ext xmlns:c16="http://schemas.microsoft.com/office/drawing/2014/chart" uri="{C3380CC4-5D6E-409C-BE32-E72D297353CC}">
              <c16:uniqueId val="{00000000-8104-4E2B-BCF1-512EFED47853}"/>
            </c:ext>
          </c:extLst>
        </c:ser>
        <c:ser>
          <c:idx val="1"/>
          <c:order val="1"/>
          <c:tx>
            <c:strRef>
              <c:f>Sheet1!$C$1</c:f>
              <c:strCache>
                <c:ptCount val="1"/>
                <c:pt idx="0">
                  <c:v>Fall 12—Spr 14</c:v>
                </c:pt>
              </c:strCache>
            </c:strRef>
          </c:tx>
          <c:spPr>
            <a:solidFill>
              <a:schemeClr val="accent5">
                <a:shade val="76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0.7</c:v>
                </c:pt>
                <c:pt idx="1">
                  <c:v>0.56999999999999995</c:v>
                </c:pt>
                <c:pt idx="2">
                  <c:v>0.37</c:v>
                </c:pt>
              </c:numCache>
            </c:numRef>
          </c:val>
          <c:extLst xmlns:c16r2="http://schemas.microsoft.com/office/drawing/2015/06/chart">
            <c:ext xmlns:c16="http://schemas.microsoft.com/office/drawing/2014/chart" uri="{C3380CC4-5D6E-409C-BE32-E72D297353CC}">
              <c16:uniqueId val="{00000001-8104-4E2B-BCF1-512EFED47853}"/>
            </c:ext>
          </c:extLst>
        </c:ser>
        <c:ser>
          <c:idx val="2"/>
          <c:order val="2"/>
          <c:tx>
            <c:strRef>
              <c:f>Sheet1!$D$1</c:f>
              <c:strCache>
                <c:ptCount val="1"/>
                <c:pt idx="0">
                  <c:v>Fall 13—Spr 15</c:v>
                </c:pt>
              </c:strCache>
            </c:strRef>
          </c:tx>
          <c:spPr>
            <a:solidFill>
              <a:schemeClr val="accent5"/>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0.33</c:v>
                </c:pt>
                <c:pt idx="1">
                  <c:v>0.28999999999999998</c:v>
                </c:pt>
                <c:pt idx="2">
                  <c:v>0.21</c:v>
                </c:pt>
              </c:numCache>
            </c:numRef>
          </c:val>
          <c:extLst xmlns:c16r2="http://schemas.microsoft.com/office/drawing/2015/06/chart">
            <c:ext xmlns:c16="http://schemas.microsoft.com/office/drawing/2014/chart" uri="{C3380CC4-5D6E-409C-BE32-E72D297353CC}">
              <c16:uniqueId val="{00000002-8104-4E2B-BCF1-512EFED47853}"/>
            </c:ext>
          </c:extLst>
        </c:ser>
        <c:ser>
          <c:idx val="3"/>
          <c:order val="3"/>
          <c:tx>
            <c:strRef>
              <c:f>Sheet1!$E$1</c:f>
              <c:strCache>
                <c:ptCount val="1"/>
                <c:pt idx="0">
                  <c:v>Fall 14—Spr 16</c:v>
                </c:pt>
              </c:strCache>
            </c:strRef>
          </c:tx>
          <c:spPr>
            <a:solidFill>
              <a:schemeClr val="accent5">
                <a:tint val="77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8104-4E2B-BCF1-512EFED47853}"/>
              </c:ext>
            </c:extLst>
          </c:dPt>
          <c:dPt>
            <c:idx val="1"/>
            <c:invertIfNegative val="0"/>
            <c:bubble3D val="0"/>
            <c:extLst xmlns:c16r2="http://schemas.microsoft.com/office/drawing/2015/06/chart">
              <c:ext xmlns:c16="http://schemas.microsoft.com/office/drawing/2014/chart" uri="{C3380CC4-5D6E-409C-BE32-E72D297353CC}">
                <c16:uniqueId val="{00000004-8104-4E2B-BCF1-512EFED47853}"/>
              </c:ext>
            </c:extLst>
          </c:dPt>
          <c:dPt>
            <c:idx val="2"/>
            <c:invertIfNegative val="0"/>
            <c:bubble3D val="0"/>
            <c:extLst xmlns:c16r2="http://schemas.microsoft.com/office/drawing/2015/06/chart">
              <c:ext xmlns:c16="http://schemas.microsoft.com/office/drawing/2014/chart" uri="{C3380CC4-5D6E-409C-BE32-E72D297353CC}">
                <c16:uniqueId val="{00000005-8104-4E2B-BCF1-512EFED47853}"/>
              </c:ext>
            </c:extLst>
          </c:dPt>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0.3</c:v>
                </c:pt>
                <c:pt idx="1">
                  <c:v>0.3</c:v>
                </c:pt>
                <c:pt idx="2">
                  <c:v>0.25</c:v>
                </c:pt>
              </c:numCache>
            </c:numRef>
          </c:val>
          <c:extLst xmlns:c16r2="http://schemas.microsoft.com/office/drawing/2015/06/chart">
            <c:ext xmlns:c16="http://schemas.microsoft.com/office/drawing/2014/chart" uri="{C3380CC4-5D6E-409C-BE32-E72D297353CC}">
              <c16:uniqueId val="{00000006-8104-4E2B-BCF1-512EFED47853}"/>
            </c:ext>
          </c:extLst>
        </c:ser>
        <c:ser>
          <c:idx val="4"/>
          <c:order val="4"/>
          <c:tx>
            <c:strRef>
              <c:f>Sheet1!$F$1</c:f>
              <c:strCache>
                <c:ptCount val="1"/>
                <c:pt idx="0">
                  <c:v>Fall 15—Spr 17</c:v>
                </c:pt>
              </c:strCache>
            </c:strRef>
          </c:tx>
          <c:spPr>
            <a:solidFill>
              <a:schemeClr val="accent5">
                <a:tint val="54000"/>
              </a:schemeClr>
            </a:solidFill>
            <a:ln>
              <a:noFill/>
            </a:ln>
            <a:effectLst/>
          </c:spPr>
          <c:invertIfNegative val="0"/>
          <c:dLbls>
            <c:spPr>
              <a:noFill/>
              <a:ln>
                <a:noFill/>
              </a:ln>
              <a:effectLst/>
            </c:spPr>
            <c:txPr>
              <a:bodyPr rot="-4200000" spcFirstLastPara="1" vertOverflow="ellipsis"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0.56000000000000005</c:v>
                </c:pt>
                <c:pt idx="1">
                  <c:v>0.46</c:v>
                </c:pt>
                <c:pt idx="2">
                  <c:v>0.24</c:v>
                </c:pt>
              </c:numCache>
            </c:numRef>
          </c:val>
          <c:extLst xmlns:c16r2="http://schemas.microsoft.com/office/drawing/2015/06/chart">
            <c:ext xmlns:c16="http://schemas.microsoft.com/office/drawing/2014/chart" uri="{C3380CC4-5D6E-409C-BE32-E72D297353CC}">
              <c16:uniqueId val="{00000007-8104-4E2B-BCF1-512EFED47853}"/>
            </c:ext>
          </c:extLst>
        </c:ser>
        <c:dLbls>
          <c:showLegendKey val="0"/>
          <c:showVal val="0"/>
          <c:showCatName val="0"/>
          <c:showSerName val="0"/>
          <c:showPercent val="0"/>
          <c:showBubbleSize val="0"/>
        </c:dLbls>
        <c:gapWidth val="150"/>
        <c:axId val="237137280"/>
        <c:axId val="237137672"/>
      </c:barChart>
      <c:catAx>
        <c:axId val="23713728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7137672"/>
        <c:crosses val="autoZero"/>
        <c:auto val="1"/>
        <c:lblAlgn val="ctr"/>
        <c:lblOffset val="100"/>
        <c:noMultiLvlLbl val="0"/>
      </c:catAx>
      <c:valAx>
        <c:axId val="237137672"/>
        <c:scaling>
          <c:orientation val="minMax"/>
          <c:max val="1"/>
          <c:min val="0"/>
        </c:scaling>
        <c:delete val="0"/>
        <c:axPos val="l"/>
        <c:majorGridlines>
          <c:spPr>
            <a:ln w="9525" cap="flat" cmpd="sng" algn="ctr">
              <a:solidFill>
                <a:sysClr val="window" lastClr="FFFFFF">
                  <a:lumMod val="85000"/>
                </a:sys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7137280"/>
        <c:crosses val="autoZero"/>
        <c:crossBetween val="between"/>
      </c:valAx>
      <c:spPr>
        <a:solidFill>
          <a:schemeClr val="bg1"/>
        </a:solidFill>
        <a:ln>
          <a:noFill/>
        </a:ln>
        <a:effectLst/>
      </c:spPr>
    </c:plotArea>
    <c:legend>
      <c:legendPos val="b"/>
      <c:layout>
        <c:manualLayout>
          <c:xMode val="edge"/>
          <c:yMode val="edge"/>
          <c:x val="0.111224395217351"/>
          <c:y val="0.94796088507022536"/>
          <c:w val="0.80247875679735048"/>
          <c:h val="5.20391149297746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000">
                <a:latin typeface="Calibri" pitchFamily="34" charset="0"/>
              </a:defRPr>
            </a:pPr>
            <a:r>
              <a:rPr lang="en-US" sz="1000" u="heavy" baseline="0">
                <a:solidFill>
                  <a:schemeClr val="accent6">
                    <a:lumMod val="75000"/>
                  </a:schemeClr>
                </a:solidFill>
                <a:uFill>
                  <a:solidFill>
                    <a:schemeClr val="accent6">
                      <a:lumMod val="75000"/>
                    </a:schemeClr>
                  </a:solidFill>
                </a:uFill>
                <a:latin typeface="Calibri" pitchFamily="34" charset="0"/>
              </a:rPr>
              <a:t>Orange Coast</a:t>
            </a:r>
            <a:r>
              <a:rPr lang="en-US" sz="1000" baseline="0">
                <a:latin typeface="Calibri" pitchFamily="34" charset="0"/>
              </a:rPr>
              <a:t>  </a:t>
            </a:r>
            <a:r>
              <a:rPr lang="en-US" sz="1000">
                <a:latin typeface="Calibri" pitchFamily="34" charset="0"/>
              </a:rPr>
              <a:t> ESL Basic Skills Students Progression</a:t>
            </a:r>
            <a:r>
              <a:rPr lang="en-US" sz="1000" baseline="0">
                <a:latin typeface="Calibri" pitchFamily="34" charset="0"/>
              </a:rPr>
              <a:t> </a:t>
            </a:r>
            <a:r>
              <a:rPr lang="en-US" sz="1000">
                <a:latin typeface="Calibri" pitchFamily="34" charset="0"/>
              </a:rPr>
              <a:t>to College Level within Two Years</a:t>
            </a:r>
          </a:p>
        </c:rich>
      </c:tx>
      <c:layout>
        <c:manualLayout>
          <c:xMode val="edge"/>
          <c:yMode val="edge"/>
          <c:x val="0.14938492063492065"/>
          <c:y val="0"/>
        </c:manualLayout>
      </c:layout>
      <c:overlay val="1"/>
    </c:title>
    <c:autoTitleDeleted val="0"/>
    <c:plotArea>
      <c:layout>
        <c:manualLayout>
          <c:layoutTarget val="inner"/>
          <c:xMode val="edge"/>
          <c:yMode val="edge"/>
          <c:x val="6.0341932599427071E-2"/>
          <c:y val="7.5432915814961921E-2"/>
          <c:w val="0.93965429471561912"/>
          <c:h val="0.72726913940731974"/>
        </c:manualLayout>
      </c:layout>
      <c:barChart>
        <c:barDir val="col"/>
        <c:grouping val="clustered"/>
        <c:varyColors val="0"/>
        <c:ser>
          <c:idx val="0"/>
          <c:order val="0"/>
          <c:tx>
            <c:strRef>
              <c:f>Sheet1!$B$1</c:f>
              <c:strCache>
                <c:ptCount val="1"/>
                <c:pt idx="0">
                  <c:v>Fall 11—Spr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Sheet1!$B$2:$B$4</c:f>
              <c:numCache>
                <c:formatCode>0%</c:formatCode>
                <c:ptCount val="3"/>
                <c:pt idx="0">
                  <c:v>0.85</c:v>
                </c:pt>
                <c:pt idx="1">
                  <c:v>0.64</c:v>
                </c:pt>
                <c:pt idx="2">
                  <c:v>0.51</c:v>
                </c:pt>
              </c:numCache>
            </c:numRef>
          </c:val>
          <c:extLst xmlns:c16r2="http://schemas.microsoft.com/office/drawing/2015/06/chart">
            <c:ext xmlns:c16="http://schemas.microsoft.com/office/drawing/2014/chart" uri="{C3380CC4-5D6E-409C-BE32-E72D297353CC}">
              <c16:uniqueId val="{00000000-3C2E-4FBF-8862-CBFDA9C5B5EB}"/>
            </c:ext>
          </c:extLst>
        </c:ser>
        <c:ser>
          <c:idx val="1"/>
          <c:order val="1"/>
          <c:tx>
            <c:strRef>
              <c:f>Sheet1!$C$1</c:f>
              <c:strCache>
                <c:ptCount val="1"/>
                <c:pt idx="0">
                  <c:v>Fall 12—Spr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Sheet1!$C$2:$C$4</c:f>
              <c:numCache>
                <c:formatCode>0%</c:formatCode>
                <c:ptCount val="3"/>
                <c:pt idx="0">
                  <c:v>0.89</c:v>
                </c:pt>
                <c:pt idx="1">
                  <c:v>0.51</c:v>
                </c:pt>
                <c:pt idx="2">
                  <c:v>0.42</c:v>
                </c:pt>
              </c:numCache>
            </c:numRef>
          </c:val>
          <c:extLst xmlns:c16r2="http://schemas.microsoft.com/office/drawing/2015/06/chart">
            <c:ext xmlns:c16="http://schemas.microsoft.com/office/drawing/2014/chart" uri="{C3380CC4-5D6E-409C-BE32-E72D297353CC}">
              <c16:uniqueId val="{00000001-3C2E-4FBF-8862-CBFDA9C5B5EB}"/>
            </c:ext>
          </c:extLst>
        </c:ser>
        <c:ser>
          <c:idx val="2"/>
          <c:order val="2"/>
          <c:tx>
            <c:strRef>
              <c:f>Sheet1!$D$1</c:f>
              <c:strCache>
                <c:ptCount val="1"/>
                <c:pt idx="0">
                  <c:v>Fall 13—Spr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Sheet1!$D$2:$D$4</c:f>
              <c:numCache>
                <c:formatCode>0%</c:formatCode>
                <c:ptCount val="3"/>
                <c:pt idx="0">
                  <c:v>0.86</c:v>
                </c:pt>
                <c:pt idx="1">
                  <c:v>0.57999999999999996</c:v>
                </c:pt>
                <c:pt idx="2">
                  <c:v>0.61</c:v>
                </c:pt>
              </c:numCache>
            </c:numRef>
          </c:val>
          <c:extLst xmlns:c16r2="http://schemas.microsoft.com/office/drawing/2015/06/chart">
            <c:ext xmlns:c16="http://schemas.microsoft.com/office/drawing/2014/chart" uri="{C3380CC4-5D6E-409C-BE32-E72D297353CC}">
              <c16:uniqueId val="{00000002-3C2E-4FBF-8862-CBFDA9C5B5EB}"/>
            </c:ext>
          </c:extLst>
        </c:ser>
        <c:ser>
          <c:idx val="3"/>
          <c:order val="3"/>
          <c:tx>
            <c:strRef>
              <c:f>Sheet1!$E$1</c:f>
              <c:strCache>
                <c:ptCount val="1"/>
                <c:pt idx="0">
                  <c:v>Fall 14—Spr 16</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3-3C2E-4FBF-8862-CBFDA9C5B5EB}"/>
              </c:ext>
            </c:extLst>
          </c:dPt>
          <c:dPt>
            <c:idx val="1"/>
            <c:invertIfNegative val="0"/>
            <c:bubble3D val="0"/>
            <c:extLst xmlns:c16r2="http://schemas.microsoft.com/office/drawing/2015/06/chart">
              <c:ext xmlns:c16="http://schemas.microsoft.com/office/drawing/2014/chart" uri="{C3380CC4-5D6E-409C-BE32-E72D297353CC}">
                <c16:uniqueId val="{00000004-3C2E-4FBF-8862-CBFDA9C5B5EB}"/>
              </c:ext>
            </c:extLst>
          </c:dPt>
          <c:dPt>
            <c:idx val="2"/>
            <c:invertIfNegative val="0"/>
            <c:bubble3D val="0"/>
            <c:extLst xmlns:c16r2="http://schemas.microsoft.com/office/drawing/2015/06/chart">
              <c:ext xmlns:c16="http://schemas.microsoft.com/office/drawing/2014/chart" uri="{C3380CC4-5D6E-409C-BE32-E72D297353CC}">
                <c16:uniqueId val="{00000005-3C2E-4FBF-8862-CBFDA9C5B5EB}"/>
              </c:ext>
            </c:extLst>
          </c:dPt>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Success Two Levels
Below Transfer</c:v>
                </c:pt>
                <c:pt idx="1">
                  <c:v>Success One Level
Below Transfer</c:v>
                </c:pt>
                <c:pt idx="2">
                  <c:v>Success
Transferable</c:v>
                </c:pt>
              </c:strCache>
            </c:strRef>
          </c:cat>
          <c:val>
            <c:numRef>
              <c:f>Sheet1!$E$2:$E$4</c:f>
              <c:numCache>
                <c:formatCode>0%</c:formatCode>
                <c:ptCount val="3"/>
                <c:pt idx="0">
                  <c:v>0.9</c:v>
                </c:pt>
                <c:pt idx="1">
                  <c:v>0.51</c:v>
                </c:pt>
                <c:pt idx="2">
                  <c:v>0.46</c:v>
                </c:pt>
              </c:numCache>
            </c:numRef>
          </c:val>
          <c:extLst xmlns:c16r2="http://schemas.microsoft.com/office/drawing/2015/06/chart">
            <c:ext xmlns:c16="http://schemas.microsoft.com/office/drawing/2014/chart" uri="{C3380CC4-5D6E-409C-BE32-E72D297353CC}">
              <c16:uniqueId val="{00000006-3C2E-4FBF-8862-CBFDA9C5B5EB}"/>
            </c:ext>
          </c:extLst>
        </c:ser>
        <c:ser>
          <c:idx val="4"/>
          <c:order val="4"/>
          <c:tx>
            <c:strRef>
              <c:f>Sheet1!$F$1</c:f>
              <c:strCache>
                <c:ptCount val="1"/>
                <c:pt idx="0">
                  <c:v>Fall 15—Spr 17</c:v>
                </c:pt>
              </c:strCache>
            </c:strRef>
          </c:tx>
          <c:invertIfNegative val="0"/>
          <c:dLbls>
            <c:dLbl>
              <c:idx val="1"/>
              <c:layout>
                <c:manualLayout>
                  <c:x val="0"/>
                  <c:y val="-6.907732308797584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A1-4E10-BE53-AE2AF5607AEF}"/>
                </c:ext>
                <c:ext xmlns:c15="http://schemas.microsoft.com/office/drawing/2012/chart" uri="{CE6537A1-D6FC-4f65-9D91-7224C49458BB}"/>
              </c:extLst>
            </c:dLbl>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Success Two Levels
Below Transfer</c:v>
                </c:pt>
                <c:pt idx="1">
                  <c:v>Success One Level
Below Transfer</c:v>
                </c:pt>
                <c:pt idx="2">
                  <c:v>Success
Transferable</c:v>
                </c:pt>
              </c:strCache>
            </c:strRef>
          </c:cat>
          <c:val>
            <c:numRef>
              <c:f>Sheet1!$F$2:$F$4</c:f>
              <c:numCache>
                <c:formatCode>0%</c:formatCode>
                <c:ptCount val="3"/>
                <c:pt idx="0">
                  <c:v>0.83</c:v>
                </c:pt>
                <c:pt idx="1">
                  <c:v>0.49</c:v>
                </c:pt>
                <c:pt idx="2">
                  <c:v>0.35</c:v>
                </c:pt>
              </c:numCache>
            </c:numRef>
          </c:val>
          <c:extLst xmlns:c16r2="http://schemas.microsoft.com/office/drawing/2015/06/chart">
            <c:ext xmlns:c16="http://schemas.microsoft.com/office/drawing/2014/chart" uri="{C3380CC4-5D6E-409C-BE32-E72D297353CC}">
              <c16:uniqueId val="{00000007-3C2E-4FBF-8862-CBFDA9C5B5EB}"/>
            </c:ext>
          </c:extLst>
        </c:ser>
        <c:dLbls>
          <c:showLegendKey val="0"/>
          <c:showVal val="0"/>
          <c:showCatName val="0"/>
          <c:showSerName val="0"/>
          <c:showPercent val="0"/>
          <c:showBubbleSize val="0"/>
        </c:dLbls>
        <c:gapWidth val="150"/>
        <c:axId val="238017968"/>
        <c:axId val="238018360"/>
      </c:barChart>
      <c:catAx>
        <c:axId val="238017968"/>
        <c:scaling>
          <c:orientation val="minMax"/>
        </c:scaling>
        <c:delete val="0"/>
        <c:axPos val="b"/>
        <c:numFmt formatCode="General" sourceLinked="0"/>
        <c:majorTickMark val="out"/>
        <c:minorTickMark val="none"/>
        <c:tickLblPos val="nextTo"/>
        <c:txPr>
          <a:bodyPr/>
          <a:lstStyle/>
          <a:p>
            <a:pPr>
              <a:defRPr>
                <a:latin typeface="Calibri" pitchFamily="34" charset="0"/>
              </a:defRPr>
            </a:pPr>
            <a:endParaRPr lang="en-US"/>
          </a:p>
        </c:txPr>
        <c:crossAx val="238018360"/>
        <c:crosses val="autoZero"/>
        <c:auto val="1"/>
        <c:lblAlgn val="ctr"/>
        <c:lblOffset val="100"/>
        <c:noMultiLvlLbl val="0"/>
      </c:catAx>
      <c:valAx>
        <c:axId val="238018360"/>
        <c:scaling>
          <c:orientation val="minMax"/>
          <c:max val="1"/>
          <c:min val="0"/>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38017968"/>
        <c:crosses val="autoZero"/>
        <c:crossBetween val="between"/>
      </c:valAx>
    </c:plotArea>
    <c:legend>
      <c:legendPos val="b"/>
      <c:layout>
        <c:manualLayout>
          <c:xMode val="edge"/>
          <c:yMode val="edge"/>
          <c:x val="0.12566017118921871"/>
          <c:y val="0.94042479335900642"/>
          <c:w val="0.78837582472105394"/>
          <c:h val="5.9575206640993542E-2"/>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Calibri" pitchFamily="34" charset="0"/>
                <a:ea typeface="+mn-ea"/>
                <a:cs typeface="+mn-cs"/>
              </a:defRPr>
            </a:pPr>
            <a:r>
              <a:rPr lang="en-US" sz="1050"/>
              <a:t>Fall Successful Course Completion Rates</a:t>
            </a:r>
          </a:p>
        </c:rich>
      </c:tx>
      <c:layout>
        <c:manualLayout>
          <c:xMode val="edge"/>
          <c:yMode val="edge"/>
          <c:x val="0.26518502494880447"/>
          <c:y val="3.7011791436518198E-3"/>
        </c:manualLayout>
      </c:layout>
      <c:overlay val="1"/>
      <c:spPr>
        <a:noFill/>
        <a:ln>
          <a:noFill/>
        </a:ln>
        <a:effectLst/>
      </c:spPr>
    </c:title>
    <c:autoTitleDeleted val="0"/>
    <c:plotArea>
      <c:layout>
        <c:manualLayout>
          <c:layoutTarget val="inner"/>
          <c:xMode val="edge"/>
          <c:yMode val="edge"/>
          <c:x val="5.6547163443870896E-2"/>
          <c:y val="0.10893086793162648"/>
          <c:w val="0.76940635703839066"/>
          <c:h val="0.73301004963370375"/>
        </c:manualLayout>
      </c:layout>
      <c:lineChart>
        <c:grouping val="standard"/>
        <c:varyColors val="0"/>
        <c:ser>
          <c:idx val="0"/>
          <c:order val="0"/>
          <c:tx>
            <c:strRef>
              <c:f>Sheet1!$B$1</c:f>
              <c:strCache>
                <c:ptCount val="1"/>
                <c:pt idx="0">
                  <c:v>Coastline</c:v>
                </c:pt>
              </c:strCache>
            </c:strRef>
          </c:tx>
          <c:spPr>
            <a:ln w="28575" cap="rnd" cmpd="sng" algn="ctr">
              <a:solidFill>
                <a:schemeClr val="accent1">
                  <a:shade val="95000"/>
                  <a:satMod val="105000"/>
                </a:schemeClr>
              </a:solidFill>
              <a:prstDash val="solid"/>
              <a:round/>
            </a:ln>
            <a:effectLst/>
          </c:spPr>
          <c:marker>
            <c:symbol val="diamond"/>
            <c:size val="7"/>
            <c:spPr>
              <a:solidFill>
                <a:schemeClr val="accent1"/>
              </a:solidFill>
              <a:ln w="9525" cap="flat" cmpd="sng" algn="ctr">
                <a:solidFill>
                  <a:schemeClr val="accent1">
                    <a:shade val="95000"/>
                    <a:satMod val="105000"/>
                  </a:schemeClr>
                </a:solidFill>
                <a:prstDash val="solid"/>
                <a:round/>
              </a:ln>
              <a:effectLst/>
            </c:spPr>
          </c:marker>
          <c:dLbls>
            <c:dLbl>
              <c:idx val="3"/>
              <c:layout>
                <c:manualLayout>
                  <c:x val="-3.9111480670919956E-2"/>
                  <c:y val="5.6277056277056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C7-4B51-9211-89238971F4D1}"/>
                </c:ext>
                <c:ext xmlns:c15="http://schemas.microsoft.com/office/drawing/2012/chart" uri="{CE6537A1-D6FC-4f65-9D91-7224C49458BB}">
                  <c15:layout/>
                </c:ext>
              </c:extLst>
            </c:dLbl>
            <c:dLbl>
              <c:idx val="4"/>
              <c:layout>
                <c:manualLayout>
                  <c:x val="-4.625880489141497E-2"/>
                  <c:y val="5.6277056277056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C7-4B51-9211-89238971F4D1}"/>
                </c:ext>
                <c:ext xmlns:c15="http://schemas.microsoft.com/office/drawing/2012/chart" uri="{CE6537A1-D6FC-4f65-9D91-7224C49458BB}">
                  <c15:layout/>
                </c:ext>
              </c:extLst>
            </c:dLbl>
            <c:dLbl>
              <c:idx val="5"/>
              <c:layout>
                <c:manualLayout>
                  <c:x val="-4.2685142781167494E-2"/>
                  <c:y val="3.89610389610388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C7-4B51-9211-89238971F4D1}"/>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c:formatCode>
                <c:ptCount val="5"/>
                <c:pt idx="0">
                  <c:v>0.64</c:v>
                </c:pt>
                <c:pt idx="1">
                  <c:v>0.64</c:v>
                </c:pt>
                <c:pt idx="2">
                  <c:v>0.64</c:v>
                </c:pt>
                <c:pt idx="3">
                  <c:v>0.64600000000000002</c:v>
                </c:pt>
                <c:pt idx="4">
                  <c:v>0.66</c:v>
                </c:pt>
              </c:numCache>
            </c:numRef>
          </c:val>
          <c:smooth val="0"/>
          <c:extLst xmlns:c16r2="http://schemas.microsoft.com/office/drawing/2015/06/chart">
            <c:ext xmlns:c16="http://schemas.microsoft.com/office/drawing/2014/chart" uri="{C3380CC4-5D6E-409C-BE32-E72D297353CC}">
              <c16:uniqueId val="{00000003-09C7-4B51-9211-89238971F4D1}"/>
            </c:ext>
          </c:extLst>
        </c:ser>
        <c:ser>
          <c:idx val="1"/>
          <c:order val="1"/>
          <c:tx>
            <c:strRef>
              <c:f>Sheet1!$C$1</c:f>
              <c:strCache>
                <c:ptCount val="1"/>
                <c:pt idx="0">
                  <c:v>Golden West</c:v>
                </c:pt>
              </c:strCache>
            </c:strRef>
          </c:tx>
          <c:spPr>
            <a:ln w="28575" cap="rnd" cmpd="sng" algn="ctr">
              <a:solidFill>
                <a:schemeClr val="accent3">
                  <a:shade val="95000"/>
                  <a:satMod val="105000"/>
                </a:schemeClr>
              </a:solidFill>
              <a:prstDash val="solid"/>
              <a:round/>
            </a:ln>
            <a:effectLst/>
          </c:spPr>
          <c:marker>
            <c:symbol val="square"/>
            <c:size val="7"/>
            <c:spPr>
              <a:solidFill>
                <a:schemeClr val="accent3"/>
              </a:solidFill>
              <a:ln w="9525" cap="flat" cmpd="sng" algn="ctr">
                <a:solidFill>
                  <a:schemeClr val="accent3">
                    <a:shade val="95000"/>
                    <a:satMod val="105000"/>
                  </a:schemeClr>
                </a:solidFill>
                <a:prstDash val="solid"/>
                <a:round/>
              </a:ln>
              <a:effectLst/>
            </c:spPr>
          </c:marker>
          <c:dLbls>
            <c:dLbl>
              <c:idx val="0"/>
              <c:layout>
                <c:manualLayout>
                  <c:x val="-4.8244438488340945E-2"/>
                  <c:y val="8.515867334764972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9C7-4B51-9211-89238971F4D1}"/>
                </c:ext>
                <c:ext xmlns:c15="http://schemas.microsoft.com/office/drawing/2012/chart" uri="{CE6537A1-D6FC-4f65-9D91-7224C49458BB}">
                  <c15:layout/>
                </c:ext>
              </c:extLst>
            </c:dLbl>
            <c:dLbl>
              <c:idx val="1"/>
              <c:layout>
                <c:manualLayout>
                  <c:x val="-1.0720986330742395E-2"/>
                  <c:y val="1.73160173160173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9C7-4B51-9211-89238971F4D1}"/>
                </c:ext>
                <c:ext xmlns:c15="http://schemas.microsoft.com/office/drawing/2012/chart" uri="{CE6537A1-D6FC-4f65-9D91-7224C49458BB}">
                  <c15:layout/>
                </c:ext>
              </c:extLst>
            </c:dLbl>
            <c:dLbl>
              <c:idx val="2"/>
              <c:layout>
                <c:manualLayout>
                  <c:x val="-7.1473242204949522E-3"/>
                  <c:y val="8.658008658008578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9C7-4B51-9211-89238971F4D1}"/>
                </c:ext>
                <c:ext xmlns:c15="http://schemas.microsoft.com/office/drawing/2012/chart" uri="{CE6537A1-D6FC-4f65-9D91-7224C49458BB}">
                  <c15:layout/>
                </c:ext>
              </c:extLst>
            </c:dLbl>
            <c:dLbl>
              <c:idx val="3"/>
              <c:layout>
                <c:manualLayout>
                  <c:x val="-1.2507817385866232E-2"/>
                  <c:y val="3.8961038961038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9C7-4B51-9211-89238971F4D1}"/>
                </c:ext>
                <c:ext xmlns:c15="http://schemas.microsoft.com/office/drawing/2012/chart" uri="{CE6537A1-D6FC-4f65-9D91-7224C49458BB}">
                  <c15:layout/>
                </c:ext>
              </c:extLst>
            </c:dLbl>
            <c:dLbl>
              <c:idx val="4"/>
              <c:layout>
                <c:manualLayout>
                  <c:x val="-1.2507817385866166E-2"/>
                  <c:y val="3.03030303030301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9C7-4B51-9211-89238971F4D1}"/>
                </c:ext>
                <c:ext xmlns:c15="http://schemas.microsoft.com/office/drawing/2012/chart" uri="{CE6537A1-D6FC-4f65-9D91-7224C49458BB}">
                  <c15:layout/>
                </c:ext>
              </c:extLst>
            </c:dLbl>
            <c:dLbl>
              <c:idx val="5"/>
              <c:layout>
                <c:manualLayout>
                  <c:x val="-8.9341552756186902E-3"/>
                  <c:y val="1.73160173160173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9C7-4B51-9211-89238971F4D1}"/>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c:formatCode>
                <c:ptCount val="5"/>
                <c:pt idx="0">
                  <c:v>0.68</c:v>
                </c:pt>
                <c:pt idx="1">
                  <c:v>0.67</c:v>
                </c:pt>
                <c:pt idx="2">
                  <c:v>0.67</c:v>
                </c:pt>
                <c:pt idx="3">
                  <c:v>0.67700000000000005</c:v>
                </c:pt>
                <c:pt idx="4">
                  <c:v>0.69599999999999995</c:v>
                </c:pt>
              </c:numCache>
            </c:numRef>
          </c:val>
          <c:smooth val="0"/>
          <c:extLst xmlns:c16r2="http://schemas.microsoft.com/office/drawing/2015/06/chart">
            <c:ext xmlns:c16="http://schemas.microsoft.com/office/drawing/2014/chart" uri="{C3380CC4-5D6E-409C-BE32-E72D297353CC}">
              <c16:uniqueId val="{0000000A-09C7-4B51-9211-89238971F4D1}"/>
            </c:ext>
          </c:extLst>
        </c:ser>
        <c:ser>
          <c:idx val="2"/>
          <c:order val="2"/>
          <c:tx>
            <c:strRef>
              <c:f>Sheet1!$D$1</c:f>
              <c:strCache>
                <c:ptCount val="1"/>
                <c:pt idx="0">
                  <c:v>Orange Coast</c:v>
                </c:pt>
              </c:strCache>
            </c:strRef>
          </c:tx>
          <c:spPr>
            <a:ln w="28575" cap="rnd" cmpd="sng" algn="ctr">
              <a:solidFill>
                <a:schemeClr val="accent6"/>
              </a:solidFill>
              <a:prstDash val="solid"/>
              <a:round/>
            </a:ln>
            <a:effectLst/>
          </c:spPr>
          <c:marker>
            <c:spPr>
              <a:solidFill>
                <a:schemeClr val="accent6"/>
              </a:solidFill>
              <a:ln w="9525" cap="flat" cmpd="sng" algn="ctr">
                <a:solidFill>
                  <a:schemeClr val="accent5">
                    <a:shade val="95000"/>
                    <a:satMod val="105000"/>
                  </a:schemeClr>
                </a:solidFill>
                <a:prstDash val="solid"/>
                <a:round/>
              </a:ln>
              <a:effectLst/>
            </c:spPr>
          </c:marker>
          <c:dPt>
            <c:idx val="4"/>
            <c:marker>
              <c:spPr>
                <a:solidFill>
                  <a:schemeClr val="accent6"/>
                </a:solidFill>
                <a:ln w="9525" cap="flat" cmpd="sng" algn="ctr">
                  <a:solidFill>
                    <a:schemeClr val="accent6"/>
                  </a:solidFill>
                  <a:prstDash val="solid"/>
                  <a:round/>
                </a:ln>
                <a:effectLst/>
              </c:spPr>
            </c:marker>
            <c:bubble3D val="0"/>
            <c:extLst xmlns:c16r2="http://schemas.microsoft.com/office/drawing/2015/06/chart">
              <c:ext xmlns:c16="http://schemas.microsoft.com/office/drawing/2014/chart" uri="{C3380CC4-5D6E-409C-BE32-E72D297353CC}">
                <c16:uniqueId val="{0000000B-09C7-4B51-9211-89238971F4D1}"/>
              </c:ext>
            </c:extLst>
          </c:dPt>
          <c:dLbls>
            <c:dLbl>
              <c:idx val="0"/>
              <c:layout>
                <c:manualLayout>
                  <c:x val="-2.3030001174806261E-2"/>
                  <c:y val="-6.06060606060606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9C7-4B51-9211-89238971F4D1}"/>
                </c:ext>
                <c:ext xmlns:c15="http://schemas.microsoft.com/office/drawing/2012/chart" uri="{CE6537A1-D6FC-4f65-9D91-7224C49458BB}">
                  <c15:layout/>
                </c:ext>
              </c:extLst>
            </c:dLbl>
            <c:dLbl>
              <c:idx val="3"/>
              <c:layout>
                <c:manualLayout>
                  <c:x val="-2.8390494340177458E-2"/>
                  <c:y val="-7.35930735930736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9C7-4B51-9211-89238971F4D1}"/>
                </c:ext>
                <c:ext xmlns:c15="http://schemas.microsoft.com/office/drawing/2012/chart" uri="{CE6537A1-D6FC-4f65-9D91-7224C49458BB}">
                  <c15:layout/>
                </c:ext>
              </c:extLst>
            </c:dLbl>
            <c:dLbl>
              <c:idx val="4"/>
              <c:layout>
                <c:manualLayout>
                  <c:x val="-2.4816832229929982E-2"/>
                  <c:y val="-6.06060606060606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9C7-4B51-9211-89238971F4D1}"/>
                </c:ext>
                <c:ext xmlns:c15="http://schemas.microsoft.com/office/drawing/2012/chart" uri="{CE6537A1-D6FC-4f65-9D91-7224C49458BB}">
                  <c15:layout/>
                </c:ext>
              </c:extLst>
            </c:dLbl>
            <c:dLbl>
              <c:idx val="5"/>
              <c:layout>
                <c:manualLayout>
                  <c:x val="-2.3030001174806376E-2"/>
                  <c:y val="-6.92640692640692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9C7-4B51-9211-89238971F4D1}"/>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Sheet1!$D$2:$D$6</c:f>
              <c:numCache>
                <c:formatCode>0%</c:formatCode>
                <c:ptCount val="5"/>
                <c:pt idx="0">
                  <c:v>0.72</c:v>
                </c:pt>
                <c:pt idx="1">
                  <c:v>0.72</c:v>
                </c:pt>
                <c:pt idx="2">
                  <c:v>0.71</c:v>
                </c:pt>
                <c:pt idx="3">
                  <c:v>0.71299999999999997</c:v>
                </c:pt>
                <c:pt idx="4">
                  <c:v>0.72699999999999998</c:v>
                </c:pt>
              </c:numCache>
            </c:numRef>
          </c:val>
          <c:smooth val="0"/>
          <c:extLst xmlns:c16r2="http://schemas.microsoft.com/office/drawing/2015/06/chart">
            <c:ext xmlns:c16="http://schemas.microsoft.com/office/drawing/2014/chart" uri="{C3380CC4-5D6E-409C-BE32-E72D297353CC}">
              <c16:uniqueId val="{0000000F-09C7-4B51-9211-89238971F4D1}"/>
            </c:ext>
          </c:extLst>
        </c:ser>
        <c:ser>
          <c:idx val="3"/>
          <c:order val="3"/>
          <c:tx>
            <c:strRef>
              <c:f>Sheet1!$E$1</c:f>
              <c:strCache>
                <c:ptCount val="1"/>
                <c:pt idx="0">
                  <c:v>Statewide</c:v>
                </c:pt>
              </c:strCache>
            </c:strRef>
          </c:tx>
          <c:spPr>
            <a:ln w="28575" cap="rnd" cmpd="sng" algn="ctr">
              <a:solidFill>
                <a:schemeClr val="accent1">
                  <a:lumMod val="60000"/>
                  <a:shade val="95000"/>
                  <a:satMod val="105000"/>
                </a:schemeClr>
              </a:solidFill>
              <a:prstDash val="solid"/>
              <a:round/>
            </a:ln>
            <a:effectLst/>
          </c:spPr>
          <c:marker>
            <c:symbol val="x"/>
            <c:size val="7"/>
            <c:spPr>
              <a:noFill/>
              <a:ln w="9525" cap="flat" cmpd="sng" algn="ctr">
                <a:solidFill>
                  <a:schemeClr val="tx2"/>
                </a:solidFill>
                <a:prstDash val="solid"/>
                <a:round/>
              </a:ln>
              <a:effectLst/>
            </c:spPr>
          </c:marker>
          <c:dLbls>
            <c:dLbl>
              <c:idx val="0"/>
              <c:layout>
                <c:manualLayout>
                  <c:x val="-3.9111480670919907E-2"/>
                  <c:y val="-5.76725636568156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9C7-4B51-9211-89238971F4D1}"/>
                </c:ext>
                <c:ext xmlns:c15="http://schemas.microsoft.com/office/drawing/2012/chart" uri="{CE6537A1-D6FC-4f65-9D91-7224C49458BB}">
                  <c15:layout/>
                </c:ext>
              </c:extLst>
            </c:dLbl>
            <c:dLbl>
              <c:idx val="1"/>
              <c:layout>
                <c:manualLayout>
                  <c:x val="-3.9111480670919921E-2"/>
                  <c:y val="-3.98009950248756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9C7-4B51-9211-89238971F4D1}"/>
                </c:ext>
                <c:ext xmlns:c15="http://schemas.microsoft.com/office/drawing/2012/chart" uri="{CE6537A1-D6FC-4f65-9D91-7224C49458BB}">
                  <c15:layout/>
                </c:ext>
              </c:extLst>
            </c:dLbl>
            <c:dLbl>
              <c:idx val="2"/>
              <c:layout>
                <c:manualLayout>
                  <c:x val="-4.804563594653858E-2"/>
                  <c:y val="-3.58208955223881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9C7-4B51-9211-89238971F4D1}"/>
                </c:ext>
                <c:ext xmlns:c15="http://schemas.microsoft.com/office/drawing/2012/chart" uri="{CE6537A1-D6FC-4f65-9D91-7224C49458BB}">
                  <c15:layout/>
                </c:ext>
              </c:extLst>
            </c:dLbl>
            <c:dLbl>
              <c:idx val="3"/>
              <c:layout>
                <c:manualLayout>
                  <c:x val="-1.5882676954311292E-2"/>
                  <c:y val="-4.34321846132869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9C7-4B51-9211-89238971F4D1}"/>
                </c:ext>
                <c:ext xmlns:c15="http://schemas.microsoft.com/office/drawing/2012/chart" uri="{CE6537A1-D6FC-4f65-9D91-7224C49458BB}">
                  <c15:layout/>
                </c:ext>
              </c:extLst>
            </c:dLbl>
            <c:dLbl>
              <c:idx val="4"/>
              <c:layout>
                <c:manualLayout>
                  <c:x val="1.9880254180234974E-4"/>
                  <c:y val="-3.04451716262739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9C7-4B51-9211-89238971F4D1}"/>
                </c:ext>
                <c:ext xmlns:c15="http://schemas.microsoft.com/office/drawing/2012/chart" uri="{CE6537A1-D6FC-4f65-9D91-7224C49458BB}">
                  <c15:layout/>
                </c:ext>
              </c:extLst>
            </c:dLbl>
            <c:dLbl>
              <c:idx val="5"/>
              <c:layout>
                <c:manualLayout>
                  <c:x val="-5.1616906235688641E-3"/>
                  <c:y val="-7.9364162543501253E-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9C7-4B51-9211-89238971F4D1}"/>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Sheet1!$E$2:$E$6</c:f>
              <c:numCache>
                <c:formatCode>0%</c:formatCode>
                <c:ptCount val="5"/>
                <c:pt idx="0">
                  <c:v>0.69</c:v>
                </c:pt>
                <c:pt idx="1">
                  <c:v>0.69</c:v>
                </c:pt>
                <c:pt idx="2">
                  <c:v>0.69</c:v>
                </c:pt>
                <c:pt idx="3">
                  <c:v>0.69699999999999995</c:v>
                </c:pt>
                <c:pt idx="4">
                  <c:v>0.70399999999999996</c:v>
                </c:pt>
              </c:numCache>
            </c:numRef>
          </c:val>
          <c:smooth val="0"/>
          <c:extLst xmlns:c16r2="http://schemas.microsoft.com/office/drawing/2015/06/chart">
            <c:ext xmlns:c16="http://schemas.microsoft.com/office/drawing/2014/chart" uri="{C3380CC4-5D6E-409C-BE32-E72D297353CC}">
              <c16:uniqueId val="{00000016-09C7-4B51-9211-89238971F4D1}"/>
            </c:ext>
          </c:extLst>
        </c:ser>
        <c:dLbls>
          <c:showLegendKey val="0"/>
          <c:showVal val="0"/>
          <c:showCatName val="0"/>
          <c:showSerName val="0"/>
          <c:showPercent val="0"/>
          <c:showBubbleSize val="0"/>
        </c:dLbls>
        <c:marker val="1"/>
        <c:smooth val="0"/>
        <c:axId val="157735608"/>
        <c:axId val="188027720"/>
      </c:lineChart>
      <c:catAx>
        <c:axId val="15773560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188027720"/>
        <c:crosses val="autoZero"/>
        <c:auto val="1"/>
        <c:lblAlgn val="ctr"/>
        <c:lblOffset val="100"/>
        <c:noMultiLvlLbl val="0"/>
      </c:catAx>
      <c:valAx>
        <c:axId val="188027720"/>
        <c:scaling>
          <c:orientation val="minMax"/>
          <c:max val="0.8"/>
          <c:min val="0.5"/>
        </c:scaling>
        <c:delete val="0"/>
        <c:axPos val="l"/>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157735608"/>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Calibri"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mn-cs"/>
              </a:defRPr>
            </a:pPr>
            <a:r>
              <a:rPr lang="en-US" sz="1100" b="0" i="0" u="none" strike="noStrike" baseline="0">
                <a:effectLst/>
                <a:latin typeface="Calibri" panose="020F0502020204030204" pitchFamily="34" charset="0"/>
              </a:rPr>
              <a:t>Average Semester and Cumulative GPA of Full-Time Students</a:t>
            </a:r>
            <a:endParaRPr lang="en-US" sz="1100" b="0">
              <a:latin typeface="Calibri" panose="020F050202020403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Fall 12</c:v>
                </c:pt>
              </c:strCache>
            </c:strRef>
          </c:tx>
          <c:spPr>
            <a:solidFill>
              <a:schemeClr val="accent4">
                <a:shade val="53000"/>
              </a:schemeClr>
            </a:solidFill>
            <a:ln>
              <a:noFill/>
            </a:ln>
            <a:effectLst/>
          </c:spPr>
          <c:invertIfNegative val="0"/>
          <c:cat>
            <c:strRef>
              <c:f>Sheet1!$A$2:$A$7</c:f>
              <c:strCache>
                <c:ptCount val="6"/>
                <c:pt idx="0">
                  <c:v>CCC Semester</c:v>
                </c:pt>
                <c:pt idx="1">
                  <c:v>CCC Cumulative</c:v>
                </c:pt>
                <c:pt idx="2">
                  <c:v>GWC Semester</c:v>
                </c:pt>
                <c:pt idx="3">
                  <c:v>GWC Cumulative</c:v>
                </c:pt>
                <c:pt idx="4">
                  <c:v>OCC Semester</c:v>
                </c:pt>
                <c:pt idx="5">
                  <c:v>OCC Cumulative</c:v>
                </c:pt>
              </c:strCache>
            </c:strRef>
          </c:cat>
          <c:val>
            <c:numRef>
              <c:f>Sheet1!$B$2:$B$7</c:f>
              <c:numCache>
                <c:formatCode>0.00</c:formatCode>
                <c:ptCount val="6"/>
                <c:pt idx="0">
                  <c:v>2.76</c:v>
                </c:pt>
                <c:pt idx="1">
                  <c:v>2.94</c:v>
                </c:pt>
                <c:pt idx="2">
                  <c:v>2.83</c:v>
                </c:pt>
                <c:pt idx="3">
                  <c:v>2.93</c:v>
                </c:pt>
                <c:pt idx="4">
                  <c:v>2.96</c:v>
                </c:pt>
                <c:pt idx="5">
                  <c:v>2.99</c:v>
                </c:pt>
              </c:numCache>
            </c:numRef>
          </c:val>
          <c:extLst xmlns:c16r2="http://schemas.microsoft.com/office/drawing/2015/06/chart">
            <c:ext xmlns:c16="http://schemas.microsoft.com/office/drawing/2014/chart" uri="{C3380CC4-5D6E-409C-BE32-E72D297353CC}">
              <c16:uniqueId val="{00000000-F39D-4510-851B-288819776297}"/>
            </c:ext>
          </c:extLst>
        </c:ser>
        <c:ser>
          <c:idx val="1"/>
          <c:order val="1"/>
          <c:tx>
            <c:strRef>
              <c:f>Sheet1!$C$1</c:f>
              <c:strCache>
                <c:ptCount val="1"/>
                <c:pt idx="0">
                  <c:v>Fall 13</c:v>
                </c:pt>
              </c:strCache>
            </c:strRef>
          </c:tx>
          <c:spPr>
            <a:solidFill>
              <a:schemeClr val="accent4">
                <a:shade val="76000"/>
              </a:schemeClr>
            </a:solidFill>
            <a:ln>
              <a:noFill/>
            </a:ln>
            <a:effectLst/>
          </c:spPr>
          <c:invertIfNegative val="0"/>
          <c:cat>
            <c:strRef>
              <c:f>Sheet1!$A$2:$A$7</c:f>
              <c:strCache>
                <c:ptCount val="6"/>
                <c:pt idx="0">
                  <c:v>CCC Semester</c:v>
                </c:pt>
                <c:pt idx="1">
                  <c:v>CCC Cumulative</c:v>
                </c:pt>
                <c:pt idx="2">
                  <c:v>GWC Semester</c:v>
                </c:pt>
                <c:pt idx="3">
                  <c:v>GWC Cumulative</c:v>
                </c:pt>
                <c:pt idx="4">
                  <c:v>OCC Semester</c:v>
                </c:pt>
                <c:pt idx="5">
                  <c:v>OCC Cumulative</c:v>
                </c:pt>
              </c:strCache>
            </c:strRef>
          </c:cat>
          <c:val>
            <c:numRef>
              <c:f>Sheet1!$C$2:$C$7</c:f>
              <c:numCache>
                <c:formatCode>0.00</c:formatCode>
                <c:ptCount val="6"/>
                <c:pt idx="0">
                  <c:v>2.71</c:v>
                </c:pt>
                <c:pt idx="1">
                  <c:v>2.92</c:v>
                </c:pt>
                <c:pt idx="2">
                  <c:v>2.8</c:v>
                </c:pt>
                <c:pt idx="3">
                  <c:v>2.91</c:v>
                </c:pt>
                <c:pt idx="4">
                  <c:v>2.93</c:v>
                </c:pt>
                <c:pt idx="5">
                  <c:v>2.97</c:v>
                </c:pt>
              </c:numCache>
            </c:numRef>
          </c:val>
          <c:extLst xmlns:c16r2="http://schemas.microsoft.com/office/drawing/2015/06/chart">
            <c:ext xmlns:c16="http://schemas.microsoft.com/office/drawing/2014/chart" uri="{C3380CC4-5D6E-409C-BE32-E72D297353CC}">
              <c16:uniqueId val="{00000001-F39D-4510-851B-288819776297}"/>
            </c:ext>
          </c:extLst>
        </c:ser>
        <c:ser>
          <c:idx val="2"/>
          <c:order val="2"/>
          <c:tx>
            <c:strRef>
              <c:f>Sheet1!$D$1</c:f>
              <c:strCache>
                <c:ptCount val="1"/>
                <c:pt idx="0">
                  <c:v>Fall 14</c:v>
                </c:pt>
              </c:strCache>
            </c:strRef>
          </c:tx>
          <c:spPr>
            <a:solidFill>
              <a:schemeClr val="accent4"/>
            </a:solidFill>
            <a:ln>
              <a:noFill/>
            </a:ln>
            <a:effectLst/>
          </c:spPr>
          <c:invertIfNegative val="0"/>
          <c:cat>
            <c:strRef>
              <c:f>Sheet1!$A$2:$A$7</c:f>
              <c:strCache>
                <c:ptCount val="6"/>
                <c:pt idx="0">
                  <c:v>CCC Semester</c:v>
                </c:pt>
                <c:pt idx="1">
                  <c:v>CCC Cumulative</c:v>
                </c:pt>
                <c:pt idx="2">
                  <c:v>GWC Semester</c:v>
                </c:pt>
                <c:pt idx="3">
                  <c:v>GWC Cumulative</c:v>
                </c:pt>
                <c:pt idx="4">
                  <c:v>OCC Semester</c:v>
                </c:pt>
                <c:pt idx="5">
                  <c:v>OCC Cumulative</c:v>
                </c:pt>
              </c:strCache>
            </c:strRef>
          </c:cat>
          <c:val>
            <c:numRef>
              <c:f>Sheet1!$D$2:$D$7</c:f>
              <c:numCache>
                <c:formatCode>0.00</c:formatCode>
                <c:ptCount val="6"/>
                <c:pt idx="0">
                  <c:v>2.75</c:v>
                </c:pt>
                <c:pt idx="1">
                  <c:v>2.94</c:v>
                </c:pt>
                <c:pt idx="2">
                  <c:v>2.75</c:v>
                </c:pt>
                <c:pt idx="3">
                  <c:v>2.86</c:v>
                </c:pt>
                <c:pt idx="4">
                  <c:v>2.89</c:v>
                </c:pt>
                <c:pt idx="5">
                  <c:v>2.96</c:v>
                </c:pt>
              </c:numCache>
            </c:numRef>
          </c:val>
          <c:extLst xmlns:c16r2="http://schemas.microsoft.com/office/drawing/2015/06/chart">
            <c:ext xmlns:c16="http://schemas.microsoft.com/office/drawing/2014/chart" uri="{C3380CC4-5D6E-409C-BE32-E72D297353CC}">
              <c16:uniqueId val="{00000002-F39D-4510-851B-288819776297}"/>
            </c:ext>
          </c:extLst>
        </c:ser>
        <c:ser>
          <c:idx val="3"/>
          <c:order val="3"/>
          <c:tx>
            <c:strRef>
              <c:f>Sheet1!$E$1</c:f>
              <c:strCache>
                <c:ptCount val="1"/>
                <c:pt idx="0">
                  <c:v>Fall 15</c:v>
                </c:pt>
              </c:strCache>
            </c:strRef>
          </c:tx>
          <c:spPr>
            <a:solidFill>
              <a:schemeClr val="accent4">
                <a:tint val="77000"/>
              </a:schemeClr>
            </a:solidFill>
            <a:ln>
              <a:noFill/>
            </a:ln>
            <a:effectLst/>
          </c:spPr>
          <c:invertIfNegative val="0"/>
          <c:cat>
            <c:strRef>
              <c:f>Sheet1!$A$2:$A$7</c:f>
              <c:strCache>
                <c:ptCount val="6"/>
                <c:pt idx="0">
                  <c:v>CCC Semester</c:v>
                </c:pt>
                <c:pt idx="1">
                  <c:v>CCC Cumulative</c:v>
                </c:pt>
                <c:pt idx="2">
                  <c:v>GWC Semester</c:v>
                </c:pt>
                <c:pt idx="3">
                  <c:v>GWC Cumulative</c:v>
                </c:pt>
                <c:pt idx="4">
                  <c:v>OCC Semester</c:v>
                </c:pt>
                <c:pt idx="5">
                  <c:v>OCC Cumulative</c:v>
                </c:pt>
              </c:strCache>
            </c:strRef>
          </c:cat>
          <c:val>
            <c:numRef>
              <c:f>Sheet1!$E$2:$E$7</c:f>
              <c:numCache>
                <c:formatCode>0.00</c:formatCode>
                <c:ptCount val="6"/>
                <c:pt idx="0">
                  <c:v>2.85</c:v>
                </c:pt>
                <c:pt idx="1">
                  <c:v>2.99</c:v>
                </c:pt>
                <c:pt idx="2">
                  <c:v>2.78</c:v>
                </c:pt>
                <c:pt idx="3">
                  <c:v>2.88</c:v>
                </c:pt>
                <c:pt idx="4">
                  <c:v>2.87</c:v>
                </c:pt>
                <c:pt idx="5">
                  <c:v>2.96</c:v>
                </c:pt>
              </c:numCache>
            </c:numRef>
          </c:val>
          <c:extLst xmlns:c16r2="http://schemas.microsoft.com/office/drawing/2015/06/chart">
            <c:ext xmlns:c16="http://schemas.microsoft.com/office/drawing/2014/chart" uri="{C3380CC4-5D6E-409C-BE32-E72D297353CC}">
              <c16:uniqueId val="{00000003-F39D-4510-851B-288819776297}"/>
            </c:ext>
          </c:extLst>
        </c:ser>
        <c:ser>
          <c:idx val="4"/>
          <c:order val="4"/>
          <c:tx>
            <c:strRef>
              <c:f>Sheet1!$F$1</c:f>
              <c:strCache>
                <c:ptCount val="1"/>
                <c:pt idx="0">
                  <c:v>Fall 16</c:v>
                </c:pt>
              </c:strCache>
            </c:strRef>
          </c:tx>
          <c:spPr>
            <a:solidFill>
              <a:schemeClr val="accent4">
                <a:tint val="54000"/>
              </a:schemeClr>
            </a:solidFill>
            <a:ln>
              <a:noFill/>
            </a:ln>
            <a:effectLst/>
          </c:spPr>
          <c:invertIfNegative val="0"/>
          <c:cat>
            <c:strRef>
              <c:f>Sheet1!$A$2:$A$7</c:f>
              <c:strCache>
                <c:ptCount val="6"/>
                <c:pt idx="0">
                  <c:v>CCC Semester</c:v>
                </c:pt>
                <c:pt idx="1">
                  <c:v>CCC Cumulative</c:v>
                </c:pt>
                <c:pt idx="2">
                  <c:v>GWC Semester</c:v>
                </c:pt>
                <c:pt idx="3">
                  <c:v>GWC Cumulative</c:v>
                </c:pt>
                <c:pt idx="4">
                  <c:v>OCC Semester</c:v>
                </c:pt>
                <c:pt idx="5">
                  <c:v>OCC Cumulative</c:v>
                </c:pt>
              </c:strCache>
            </c:strRef>
          </c:cat>
          <c:val>
            <c:numRef>
              <c:f>Sheet1!$F$2:$F$7</c:f>
              <c:numCache>
                <c:formatCode>0.00</c:formatCode>
                <c:ptCount val="6"/>
                <c:pt idx="0">
                  <c:v>2.8</c:v>
                </c:pt>
                <c:pt idx="1">
                  <c:v>3.01</c:v>
                </c:pt>
                <c:pt idx="2">
                  <c:v>2.71</c:v>
                </c:pt>
                <c:pt idx="3">
                  <c:v>2.89</c:v>
                </c:pt>
                <c:pt idx="4">
                  <c:v>2.79</c:v>
                </c:pt>
                <c:pt idx="5">
                  <c:v>2.96</c:v>
                </c:pt>
              </c:numCache>
            </c:numRef>
          </c:val>
          <c:extLst xmlns:c16r2="http://schemas.microsoft.com/office/drawing/2015/06/chart">
            <c:ext xmlns:c16="http://schemas.microsoft.com/office/drawing/2014/chart" uri="{C3380CC4-5D6E-409C-BE32-E72D297353CC}">
              <c16:uniqueId val="{00000004-F39D-4510-851B-288819776297}"/>
            </c:ext>
          </c:extLst>
        </c:ser>
        <c:dLbls>
          <c:showLegendKey val="0"/>
          <c:showVal val="0"/>
          <c:showCatName val="0"/>
          <c:showSerName val="0"/>
          <c:showPercent val="0"/>
          <c:showBubbleSize val="0"/>
        </c:dLbls>
        <c:gapWidth val="219"/>
        <c:overlap val="-27"/>
        <c:axId val="238019144"/>
        <c:axId val="238019536"/>
      </c:barChart>
      <c:catAx>
        <c:axId val="23801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19536"/>
        <c:crosses val="autoZero"/>
        <c:auto val="1"/>
        <c:lblAlgn val="ctr"/>
        <c:lblOffset val="100"/>
        <c:noMultiLvlLbl val="0"/>
      </c:catAx>
      <c:valAx>
        <c:axId val="238019536"/>
        <c:scaling>
          <c:orientation val="minMax"/>
          <c:max val="4"/>
          <c:min val="0"/>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1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Sheet1!$A$2</c:f>
              <c:strCache>
                <c:ptCount val="1"/>
                <c:pt idx="0">
                  <c:v>2012-13</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Sheet1!$B$1:$E$1</c:f>
              <c:strCache>
                <c:ptCount val="4"/>
                <c:pt idx="0">
                  <c:v>Coastline</c:v>
                </c:pt>
                <c:pt idx="1">
                  <c:v>Golden West</c:v>
                </c:pt>
                <c:pt idx="2">
                  <c:v>Orange Coast</c:v>
                </c:pt>
                <c:pt idx="3">
                  <c:v>District</c:v>
                </c:pt>
              </c:strCache>
            </c:strRef>
          </c:cat>
          <c:val>
            <c:numRef>
              <c:f>Sheet1!$B$2:$E$2</c:f>
              <c:numCache>
                <c:formatCode>0%</c:formatCode>
                <c:ptCount val="4"/>
                <c:pt idx="0">
                  <c:v>0.88500000000000001</c:v>
                </c:pt>
                <c:pt idx="1">
                  <c:v>0.93500000000000005</c:v>
                </c:pt>
                <c:pt idx="2">
                  <c:v>0.82299999999999995</c:v>
                </c:pt>
                <c:pt idx="3">
                  <c:v>0.87</c:v>
                </c:pt>
              </c:numCache>
            </c:numRef>
          </c:val>
          <c:extLst xmlns:c16r2="http://schemas.microsoft.com/office/drawing/2015/06/chart">
            <c:ext xmlns:c16="http://schemas.microsoft.com/office/drawing/2014/chart" uri="{C3380CC4-5D6E-409C-BE32-E72D297353CC}">
              <c16:uniqueId val="{00000000-594B-4824-BD28-926BDE6FF511}"/>
            </c:ext>
          </c:extLst>
        </c:ser>
        <c:ser>
          <c:idx val="1"/>
          <c:order val="1"/>
          <c:tx>
            <c:strRef>
              <c:f>Sheet1!$A$3</c:f>
              <c:strCache>
                <c:ptCount val="1"/>
                <c:pt idx="0">
                  <c:v>2013-14</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Sheet1!$B$1:$E$1</c:f>
              <c:strCache>
                <c:ptCount val="4"/>
                <c:pt idx="0">
                  <c:v>Coastline</c:v>
                </c:pt>
                <c:pt idx="1">
                  <c:v>Golden West</c:v>
                </c:pt>
                <c:pt idx="2">
                  <c:v>Orange Coast</c:v>
                </c:pt>
                <c:pt idx="3">
                  <c:v>District</c:v>
                </c:pt>
              </c:strCache>
            </c:strRef>
          </c:cat>
          <c:val>
            <c:numRef>
              <c:f>Sheet1!$B$3:$E$3</c:f>
              <c:numCache>
                <c:formatCode>0%</c:formatCode>
                <c:ptCount val="4"/>
                <c:pt idx="0">
                  <c:v>0.73499999999999999</c:v>
                </c:pt>
                <c:pt idx="1">
                  <c:v>0.94399999999999995</c:v>
                </c:pt>
                <c:pt idx="2">
                  <c:v>0.873</c:v>
                </c:pt>
                <c:pt idx="3">
                  <c:v>0.89900000000000002</c:v>
                </c:pt>
              </c:numCache>
            </c:numRef>
          </c:val>
          <c:extLst xmlns:c16r2="http://schemas.microsoft.com/office/drawing/2015/06/chart">
            <c:ext xmlns:c16="http://schemas.microsoft.com/office/drawing/2014/chart" uri="{C3380CC4-5D6E-409C-BE32-E72D297353CC}">
              <c16:uniqueId val="{00000001-594B-4824-BD28-926BDE6FF511}"/>
            </c:ext>
          </c:extLst>
        </c:ser>
        <c:ser>
          <c:idx val="2"/>
          <c:order val="2"/>
          <c:tx>
            <c:strRef>
              <c:f>Sheet1!$A$4</c:f>
              <c:strCache>
                <c:ptCount val="1"/>
                <c:pt idx="0">
                  <c:v>2014-15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Sheet1!$B$1:$E$1</c:f>
              <c:strCache>
                <c:ptCount val="4"/>
                <c:pt idx="0">
                  <c:v>Coastline</c:v>
                </c:pt>
                <c:pt idx="1">
                  <c:v>Golden West</c:v>
                </c:pt>
                <c:pt idx="2">
                  <c:v>Orange Coast</c:v>
                </c:pt>
                <c:pt idx="3">
                  <c:v>District</c:v>
                </c:pt>
              </c:strCache>
            </c:strRef>
          </c:cat>
          <c:val>
            <c:numRef>
              <c:f>Sheet1!$B$4:$E$4</c:f>
              <c:numCache>
                <c:formatCode>0%</c:formatCode>
                <c:ptCount val="4"/>
                <c:pt idx="0">
                  <c:v>0.73899999999999999</c:v>
                </c:pt>
                <c:pt idx="1">
                  <c:v>0.96899999999999997</c:v>
                </c:pt>
                <c:pt idx="2">
                  <c:v>0.95599999999999996</c:v>
                </c:pt>
                <c:pt idx="3">
                  <c:v>0.95699999999999996</c:v>
                </c:pt>
              </c:numCache>
            </c:numRef>
          </c:val>
          <c:extLst xmlns:c16r2="http://schemas.microsoft.com/office/drawing/2015/06/chart">
            <c:ext xmlns:c16="http://schemas.microsoft.com/office/drawing/2014/chart" uri="{C3380CC4-5D6E-409C-BE32-E72D297353CC}">
              <c16:uniqueId val="{00000002-594B-4824-BD28-926BDE6FF511}"/>
            </c:ext>
          </c:extLst>
        </c:ser>
        <c:ser>
          <c:idx val="3"/>
          <c:order val="3"/>
          <c:tx>
            <c:strRef>
              <c:f>Sheet1!$A$5</c:f>
              <c:strCache>
                <c:ptCount val="1"/>
                <c:pt idx="0">
                  <c:v>2015-16</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Sheet1!$B$1:$E$1</c:f>
              <c:strCache>
                <c:ptCount val="4"/>
                <c:pt idx="0">
                  <c:v>Coastline</c:v>
                </c:pt>
                <c:pt idx="1">
                  <c:v>Golden West</c:v>
                </c:pt>
                <c:pt idx="2">
                  <c:v>Orange Coast</c:v>
                </c:pt>
                <c:pt idx="3">
                  <c:v>District</c:v>
                </c:pt>
              </c:strCache>
            </c:strRef>
          </c:cat>
          <c:val>
            <c:numRef>
              <c:f>Sheet1!$B$5:$E$5</c:f>
              <c:numCache>
                <c:formatCode>0%</c:formatCode>
                <c:ptCount val="4"/>
                <c:pt idx="0">
                  <c:v>0.81200000000000006</c:v>
                </c:pt>
                <c:pt idx="1">
                  <c:v>0.96399999999999997</c:v>
                </c:pt>
                <c:pt idx="2">
                  <c:v>0.92900000000000005</c:v>
                </c:pt>
                <c:pt idx="3">
                  <c:v>0.93200000000000005</c:v>
                </c:pt>
              </c:numCache>
            </c:numRef>
          </c:val>
          <c:extLst xmlns:c16r2="http://schemas.microsoft.com/office/drawing/2015/06/chart">
            <c:ext xmlns:c16="http://schemas.microsoft.com/office/drawing/2014/chart" uri="{C3380CC4-5D6E-409C-BE32-E72D297353CC}">
              <c16:uniqueId val="{00000003-594B-4824-BD28-926BDE6FF511}"/>
            </c:ext>
          </c:extLst>
        </c:ser>
        <c:ser>
          <c:idx val="4"/>
          <c:order val="4"/>
          <c:tx>
            <c:strRef>
              <c:f>Sheet1!$A$6</c:f>
              <c:strCache>
                <c:ptCount val="1"/>
                <c:pt idx="0">
                  <c:v>2016-17</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Coastline</c:v>
                </c:pt>
                <c:pt idx="1">
                  <c:v>Golden West</c:v>
                </c:pt>
                <c:pt idx="2">
                  <c:v>Orange Coast</c:v>
                </c:pt>
                <c:pt idx="3">
                  <c:v>District</c:v>
                </c:pt>
              </c:strCache>
            </c:strRef>
          </c:cat>
          <c:val>
            <c:numRef>
              <c:f>Sheet1!$B$6:$E$6</c:f>
              <c:numCache>
                <c:formatCode>0%</c:formatCode>
                <c:ptCount val="4"/>
                <c:pt idx="0">
                  <c:v>0.88300000000000001</c:v>
                </c:pt>
                <c:pt idx="1">
                  <c:v>0.95199999999999996</c:v>
                </c:pt>
                <c:pt idx="2">
                  <c:v>0.96399999999999997</c:v>
                </c:pt>
                <c:pt idx="3">
                  <c:v>0.95599999999999996</c:v>
                </c:pt>
              </c:numCache>
            </c:numRef>
          </c:val>
          <c:extLst xmlns:c16r2="http://schemas.microsoft.com/office/drawing/2015/06/chart">
            <c:ext xmlns:c16="http://schemas.microsoft.com/office/drawing/2014/chart" uri="{C3380CC4-5D6E-409C-BE32-E72D297353CC}">
              <c16:uniqueId val="{00000000-72FB-41CB-80A2-D2CCD86B74EE}"/>
            </c:ext>
          </c:extLst>
        </c:ser>
        <c:dLbls>
          <c:dLblPos val="outEnd"/>
          <c:showLegendKey val="0"/>
          <c:showVal val="1"/>
          <c:showCatName val="0"/>
          <c:showSerName val="0"/>
          <c:showPercent val="0"/>
          <c:showBubbleSize val="0"/>
        </c:dLbls>
        <c:gapWidth val="75"/>
        <c:axId val="238020320"/>
        <c:axId val="238020712"/>
      </c:barChart>
      <c:catAx>
        <c:axId val="23802032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8020712"/>
        <c:crossesAt val="0"/>
        <c:auto val="1"/>
        <c:lblAlgn val="ctr"/>
        <c:lblOffset val="100"/>
        <c:noMultiLvlLbl val="0"/>
      </c:catAx>
      <c:valAx>
        <c:axId val="238020712"/>
        <c:scaling>
          <c:orientation val="minMax"/>
          <c:max val="1"/>
          <c:min val="0"/>
        </c:scaling>
        <c:delete val="0"/>
        <c:axPos val="l"/>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8020320"/>
        <c:crosses val="autoZero"/>
        <c:crossBetween val="between"/>
        <c:majorUnit val="0.1"/>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en-US" sz="1050" b="1">
                <a:effectLst/>
                <a:latin typeface="Calibri" pitchFamily="34" charset="0"/>
              </a:rPr>
              <a:t>Number of Degrees Awarded</a:t>
            </a:r>
            <a:endParaRPr lang="en-US" sz="1050">
              <a:effectLst/>
              <a:latin typeface="Calibri" pitchFamily="34" charset="0"/>
            </a:endParaRPr>
          </a:p>
        </c:rich>
      </c:tx>
      <c:layout>
        <c:manualLayout>
          <c:xMode val="edge"/>
          <c:yMode val="edge"/>
          <c:x val="0.37832871852556893"/>
          <c:y val="0"/>
        </c:manualLayout>
      </c:layout>
      <c:overlay val="1"/>
    </c:title>
    <c:autoTitleDeleted val="0"/>
    <c:plotArea>
      <c:layout>
        <c:manualLayout>
          <c:layoutTarget val="inner"/>
          <c:xMode val="edge"/>
          <c:yMode val="edge"/>
          <c:x val="6.2542833434830136E-2"/>
          <c:y val="0.11052827211627449"/>
          <c:w val="0.74029608578439232"/>
          <c:h val="0.77557206191492523"/>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dLbl>
              <c:idx val="0"/>
              <c:layout>
                <c:manualLayout>
                  <c:x val="-5.1728386001338104E-2"/>
                  <c:y val="4.504949898108065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2D-4D84-B94C-6EB99A8E2F10}"/>
                </c:ext>
                <c:ext xmlns:c15="http://schemas.microsoft.com/office/drawing/2012/chart" uri="{CE6537A1-D6FC-4f65-9D91-7224C49458BB}"/>
              </c:extLst>
            </c:dLbl>
            <c:dLbl>
              <c:idx val="1"/>
              <c:layout>
                <c:manualLayout>
                  <c:x val="-1.0103193711047667E-2"/>
                  <c:y val="3.0028176033891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12D-4D84-B94C-6EB99A8E2F10}"/>
                </c:ext>
                <c:ext xmlns:c15="http://schemas.microsoft.com/office/drawing/2012/chart" uri="{CE6537A1-D6FC-4f65-9D91-7224C49458BB}"/>
              </c:extLst>
            </c:dLbl>
            <c:dLbl>
              <c:idx val="2"/>
              <c:layout>
                <c:manualLayout>
                  <c:x val="-2.8201103402478275E-2"/>
                  <c:y val="4.5342111715361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12D-4D84-B94C-6EB99A8E2F10}"/>
                </c:ext>
                <c:ext xmlns:c15="http://schemas.microsoft.com/office/drawing/2012/chart" uri="{CE6537A1-D6FC-4f65-9D91-7224C49458BB}"/>
              </c:extLst>
            </c:dLbl>
            <c:dLbl>
              <c:idx val="3"/>
              <c:layout>
                <c:manualLayout>
                  <c:x val="-3.0010894371621404E-2"/>
                  <c:y val="4.02374664882049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12D-4D84-B94C-6EB99A8E2F10}"/>
                </c:ext>
                <c:ext xmlns:c15="http://schemas.microsoft.com/office/drawing/2012/chart" uri="{CE6537A1-D6FC-4f65-9D91-7224C49458BB}"/>
              </c:extLst>
            </c:dLbl>
            <c:dLbl>
              <c:idx val="4"/>
              <c:layout>
                <c:manualLayout>
                  <c:x val="-2.6391312433335208E-2"/>
                  <c:y val="6.0656047396831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12D-4D84-B94C-6EB99A8E2F10}"/>
                </c:ext>
                <c:ext xmlns:c15="http://schemas.microsoft.com/office/drawing/2012/chart" uri="{CE6537A1-D6FC-4f65-9D91-7224C49458BB}"/>
              </c:extLst>
            </c:dLbl>
            <c:spPr>
              <a:solidFill>
                <a:schemeClr val="bg1">
                  <a:alpha val="60000"/>
                </a:schemeClr>
              </a:solidFill>
            </c:spPr>
            <c:txPr>
              <a:bodyPr/>
              <a:lstStyle/>
              <a:p>
                <a:pPr>
                  <a:defRPr sz="800" b="1">
                    <a:solidFill>
                      <a:schemeClr val="accent1"/>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Sheet1!$B$2:$B$6</c:f>
              <c:numCache>
                <c:formatCode>#,##0</c:formatCode>
                <c:ptCount val="5"/>
                <c:pt idx="0">
                  <c:v>607</c:v>
                </c:pt>
                <c:pt idx="1">
                  <c:v>574</c:v>
                </c:pt>
                <c:pt idx="2">
                  <c:v>738</c:v>
                </c:pt>
                <c:pt idx="3">
                  <c:v>850</c:v>
                </c:pt>
                <c:pt idx="4">
                  <c:v>1037</c:v>
                </c:pt>
              </c:numCache>
            </c:numRef>
          </c:val>
          <c:smooth val="0"/>
          <c:extLst xmlns:c16r2="http://schemas.microsoft.com/office/drawing/2015/06/chart">
            <c:ext xmlns:c16="http://schemas.microsoft.com/office/drawing/2014/chart" uri="{C3380CC4-5D6E-409C-BE32-E72D297353CC}">
              <c16:uniqueId val="{00000005-912D-4D84-B94C-6EB99A8E2F10}"/>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0"/>
              <c:layout>
                <c:manualLayout>
                  <c:x val="-7.2391638765722556E-3"/>
                  <c:y val="-2.0418580908626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12D-4D84-B94C-6EB99A8E2F10}"/>
                </c:ext>
                <c:ext xmlns:c15="http://schemas.microsoft.com/office/drawing/2012/chart" uri="{CE6537A1-D6FC-4f65-9D91-7224C49458BB}"/>
              </c:extLst>
            </c:dLbl>
            <c:dLbl>
              <c:idx val="1"/>
              <c:layout>
                <c:manualLayout>
                  <c:x val="-5.4293729074291917E-3"/>
                  <c:y val="-4.083716181725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12D-4D84-B94C-6EB99A8E2F10}"/>
                </c:ext>
                <c:ext xmlns:c15="http://schemas.microsoft.com/office/drawing/2012/chart" uri="{CE6537A1-D6FC-4f65-9D91-7224C49458BB}"/>
              </c:extLst>
            </c:dLbl>
            <c:dLbl>
              <c:idx val="2"/>
              <c:layout>
                <c:manualLayout>
                  <c:x val="-5.4294441590421504E-3"/>
                  <c:y val="-2.80755487493619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12D-4D84-B94C-6EB99A8E2F10}"/>
                </c:ext>
                <c:ext xmlns:c15="http://schemas.microsoft.com/office/drawing/2012/chart" uri="{CE6537A1-D6FC-4f65-9D91-7224C49458BB}">
                  <c15:layout>
                    <c:manualLayout>
                      <c:w val="3.2874924206096709E-2"/>
                      <c:h val="8.0474932976410105E-2"/>
                    </c:manualLayout>
                  </c15:layout>
                </c:ext>
              </c:extLst>
            </c:dLbl>
            <c:dLbl>
              <c:idx val="3"/>
              <c:layout>
                <c:manualLayout>
                  <c:x val="-2.7146864537145893E-2"/>
                  <c:y val="-3.57325165900970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12D-4D84-B94C-6EB99A8E2F10}"/>
                </c:ext>
                <c:ext xmlns:c15="http://schemas.microsoft.com/office/drawing/2012/chart" uri="{CE6537A1-D6FC-4f65-9D91-7224C49458BB}"/>
              </c:extLst>
            </c:dLbl>
            <c:dLbl>
              <c:idx val="4"/>
              <c:layout>
                <c:manualLayout>
                  <c:x val="0"/>
                  <c:y val="-1.53139356814701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13-4F64-A687-3DBC79456B87}"/>
                </c:ext>
                <c:ext xmlns:c15="http://schemas.microsoft.com/office/drawing/2012/chart" uri="{CE6537A1-D6FC-4f65-9D91-7224C49458BB}"/>
              </c:extLst>
            </c:dLbl>
            <c:spPr>
              <a:solidFill>
                <a:schemeClr val="bg1">
                  <a:alpha val="60000"/>
                </a:schemeClr>
              </a:solidFill>
            </c:spPr>
            <c:txPr>
              <a:bodyPr/>
              <a:lstStyle/>
              <a:p>
                <a:pPr>
                  <a:defRPr sz="800" b="1">
                    <a:solidFill>
                      <a:schemeClr val="accent3">
                        <a:lumMod val="50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Sheet1!$C$2:$C$6</c:f>
              <c:numCache>
                <c:formatCode>#,##0</c:formatCode>
                <c:ptCount val="5"/>
                <c:pt idx="0">
                  <c:v>919</c:v>
                </c:pt>
                <c:pt idx="1">
                  <c:v>964</c:v>
                </c:pt>
                <c:pt idx="2">
                  <c:v>1139</c:v>
                </c:pt>
                <c:pt idx="3">
                  <c:v>1317</c:v>
                </c:pt>
                <c:pt idx="4">
                  <c:v>1426</c:v>
                </c:pt>
              </c:numCache>
            </c:numRef>
          </c:val>
          <c:smooth val="0"/>
          <c:extLst xmlns:c16r2="http://schemas.microsoft.com/office/drawing/2015/06/chart">
            <c:ext xmlns:c16="http://schemas.microsoft.com/office/drawing/2014/chart" uri="{C3380CC4-5D6E-409C-BE32-E72D297353CC}">
              <c16:uniqueId val="{0000000A-912D-4D84-B94C-6EB99A8E2F10}"/>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0"/>
              <c:layout>
                <c:manualLayout>
                  <c:x val="-3.2576237444575148E-2"/>
                  <c:y val="-4.59418070444104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12D-4D84-B94C-6EB99A8E2F10}"/>
                </c:ext>
                <c:ext xmlns:c15="http://schemas.microsoft.com/office/drawing/2012/chart" uri="{CE6537A1-D6FC-4f65-9D91-7224C49458BB}"/>
              </c:extLst>
            </c:dLbl>
            <c:dLbl>
              <c:idx val="1"/>
              <c:layout>
                <c:manualLayout>
                  <c:x val="-3.4386028413718246E-2"/>
                  <c:y val="-4.59418070444104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12D-4D84-B94C-6EB99A8E2F10}"/>
                </c:ext>
                <c:ext xmlns:c15="http://schemas.microsoft.com/office/drawing/2012/chart" uri="{CE6537A1-D6FC-4f65-9D91-7224C49458BB}"/>
              </c:extLst>
            </c:dLbl>
            <c:dLbl>
              <c:idx val="2"/>
              <c:layout>
                <c:manualLayout>
                  <c:x val="-3.2576237444575148E-2"/>
                  <c:y val="-4.083716181725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12D-4D84-B94C-6EB99A8E2F10}"/>
                </c:ext>
                <c:ext xmlns:c15="http://schemas.microsoft.com/office/drawing/2012/chart" uri="{CE6537A1-D6FC-4f65-9D91-7224C49458BB}"/>
              </c:extLst>
            </c:dLbl>
            <c:dLbl>
              <c:idx val="3"/>
              <c:layout>
                <c:manualLayout>
                  <c:x val="-2.8956655506289022E-2"/>
                  <c:y val="-2.55232261357835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12D-4D84-B94C-6EB99A8E2F10}"/>
                </c:ext>
                <c:ext xmlns:c15="http://schemas.microsoft.com/office/drawing/2012/chart" uri="{CE6537A1-D6FC-4f65-9D91-7224C49458BB}"/>
              </c:extLst>
            </c:dLbl>
            <c:spPr>
              <a:solidFill>
                <a:schemeClr val="bg1">
                  <a:alpha val="60000"/>
                </a:schemeClr>
              </a:solidFill>
            </c:spPr>
            <c:txPr>
              <a:bodyPr/>
              <a:lstStyle/>
              <a:p>
                <a:pPr>
                  <a:defRPr sz="800" b="1">
                    <a:solidFill>
                      <a:schemeClr val="accent6">
                        <a:lumMod val="75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Sheet1!$D$2:$D$6</c:f>
              <c:numCache>
                <c:formatCode>#,##0</c:formatCode>
                <c:ptCount val="5"/>
                <c:pt idx="0">
                  <c:v>1658</c:v>
                </c:pt>
                <c:pt idx="1">
                  <c:v>1794</c:v>
                </c:pt>
                <c:pt idx="2">
                  <c:v>1990</c:v>
                </c:pt>
                <c:pt idx="3">
                  <c:v>2080</c:v>
                </c:pt>
                <c:pt idx="4">
                  <c:v>2166</c:v>
                </c:pt>
              </c:numCache>
            </c:numRef>
          </c:val>
          <c:smooth val="0"/>
          <c:extLst xmlns:c16r2="http://schemas.microsoft.com/office/drawing/2015/06/chart">
            <c:ext xmlns:c16="http://schemas.microsoft.com/office/drawing/2014/chart" uri="{C3380CC4-5D6E-409C-BE32-E72D297353CC}">
              <c16:uniqueId val="{0000000F-912D-4D84-B94C-6EB99A8E2F10}"/>
            </c:ext>
          </c:extLst>
        </c:ser>
        <c:ser>
          <c:idx val="3"/>
          <c:order val="3"/>
          <c:tx>
            <c:strRef>
              <c:f>Sheet1!$E$1</c:f>
              <c:strCache>
                <c:ptCount val="1"/>
                <c:pt idx="0">
                  <c:v>Military</c:v>
                </c:pt>
              </c:strCache>
            </c:strRef>
          </c:tx>
          <c:spPr>
            <a:ln w="25400" cap="flat" cmpd="sng" algn="ctr">
              <a:solidFill>
                <a:schemeClr val="tx1">
                  <a:lumMod val="50000"/>
                  <a:lumOff val="50000"/>
                </a:schemeClr>
              </a:solidFill>
              <a:prstDash val="solid"/>
            </a:ln>
            <a:effectLst/>
          </c:spPr>
          <c:marker>
            <c:symbol val="circle"/>
            <c:size val="7"/>
            <c:spPr>
              <a:solidFill>
                <a:schemeClr val="lt1"/>
              </a:solidFill>
              <a:ln w="25400" cap="flat" cmpd="sng" algn="ctr">
                <a:solidFill>
                  <a:schemeClr val="tx1">
                    <a:lumMod val="50000"/>
                    <a:lumOff val="50000"/>
                  </a:schemeClr>
                </a:solidFill>
                <a:prstDash val="solid"/>
              </a:ln>
              <a:effectLst/>
            </c:spPr>
          </c:marker>
          <c:dLbls>
            <c:spPr>
              <a:solidFill>
                <a:schemeClr val="bg1">
                  <a:alpha val="60000"/>
                </a:schemeClr>
              </a:solidFill>
            </c:spPr>
            <c:txPr>
              <a:bodyPr/>
              <a:lstStyle/>
              <a:p>
                <a:pPr>
                  <a:defRPr sz="800" b="1">
                    <a:solidFill>
                      <a:schemeClr val="tx1">
                        <a:lumMod val="65000"/>
                        <a:lumOff val="35000"/>
                      </a:schemeClr>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Sheet1!$E$2:$E$6</c:f>
              <c:numCache>
                <c:formatCode>#,##0</c:formatCode>
                <c:ptCount val="5"/>
                <c:pt idx="0">
                  <c:v>825</c:v>
                </c:pt>
                <c:pt idx="1">
                  <c:v>916</c:v>
                </c:pt>
                <c:pt idx="2">
                  <c:v>1146</c:v>
                </c:pt>
                <c:pt idx="3">
                  <c:v>1264</c:v>
                </c:pt>
                <c:pt idx="4">
                  <c:v>1197</c:v>
                </c:pt>
              </c:numCache>
            </c:numRef>
          </c:val>
          <c:smooth val="0"/>
          <c:extLst xmlns:c16r2="http://schemas.microsoft.com/office/drawing/2015/06/chart">
            <c:ext xmlns:c16="http://schemas.microsoft.com/office/drawing/2014/chart" uri="{C3380CC4-5D6E-409C-BE32-E72D297353CC}">
              <c16:uniqueId val="{00000010-912D-4D84-B94C-6EB99A8E2F10}"/>
            </c:ext>
          </c:extLst>
        </c:ser>
        <c:ser>
          <c:idx val="4"/>
          <c:order val="4"/>
          <c:tx>
            <c:strRef>
              <c:f>Sheet1!$F$1</c:f>
              <c:strCache>
                <c:ptCount val="1"/>
                <c:pt idx="0">
                  <c:v>District-wide</c:v>
                </c:pt>
              </c:strCache>
            </c:strRef>
          </c:tx>
          <c:spPr>
            <a:ln w="25400" cap="flat">
              <a:solidFill>
                <a:schemeClr val="tx2"/>
              </a:solidFill>
            </a:ln>
          </c:spPr>
          <c:marker>
            <c:symbol val="x"/>
            <c:size val="7"/>
            <c:spPr>
              <a:noFill/>
              <a:ln w="25400">
                <a:solidFill>
                  <a:schemeClr val="tx2"/>
                </a:solidFill>
              </a:ln>
            </c:spPr>
          </c:marker>
          <c:dLbls>
            <c:dLbl>
              <c:idx val="0"/>
              <c:layout>
                <c:manualLayout>
                  <c:x val="-6.2695719274345071E-2"/>
                  <c:y val="-1.98188855795782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12D-4D84-B94C-6EB99A8E2F10}"/>
                </c:ext>
                <c:ext xmlns:c15="http://schemas.microsoft.com/office/drawing/2012/chart" uri="{CE6537A1-D6FC-4f65-9D91-7224C49458BB}"/>
              </c:extLst>
            </c:dLbl>
            <c:dLbl>
              <c:idx val="3"/>
              <c:layout>
                <c:manualLayout>
                  <c:x val="-5.1836973459486825E-2"/>
                  <c:y val="-4.0237466488205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12D-4D84-B94C-6EB99A8E2F10}"/>
                </c:ext>
                <c:ext xmlns:c15="http://schemas.microsoft.com/office/drawing/2012/chart" uri="{CE6537A1-D6FC-4f65-9D91-7224C49458BB}"/>
              </c:extLst>
            </c:dLbl>
            <c:dLbl>
              <c:idx val="4"/>
              <c:layout>
                <c:manualLayout>
                  <c:x val="-6.5921992309102223E-3"/>
                  <c:y val="5.9969532904864686E-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12D-4D84-B94C-6EB99A8E2F10}"/>
                </c:ext>
                <c:ext xmlns:c15="http://schemas.microsoft.com/office/drawing/2012/chart" uri="{CE6537A1-D6FC-4f65-9D91-7224C49458BB}"/>
              </c:extLst>
            </c:dLbl>
            <c:spPr>
              <a:solidFill>
                <a:schemeClr val="bg1">
                  <a:alpha val="60000"/>
                </a:schemeClr>
              </a:solidFill>
            </c:spPr>
            <c:txPr>
              <a:bodyPr/>
              <a:lstStyle/>
              <a:p>
                <a:pPr>
                  <a:defRPr sz="800" b="1">
                    <a:solidFill>
                      <a:schemeClr val="tx2"/>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Sheet1!$F$2:$F$6</c:f>
              <c:numCache>
                <c:formatCode>#,##0</c:formatCode>
                <c:ptCount val="5"/>
                <c:pt idx="0">
                  <c:v>4009</c:v>
                </c:pt>
                <c:pt idx="1">
                  <c:v>4248</c:v>
                </c:pt>
                <c:pt idx="2">
                  <c:v>5013</c:v>
                </c:pt>
                <c:pt idx="3">
                  <c:v>5511</c:v>
                </c:pt>
                <c:pt idx="4">
                  <c:v>5826</c:v>
                </c:pt>
              </c:numCache>
            </c:numRef>
          </c:val>
          <c:smooth val="0"/>
          <c:extLst xmlns:c16r2="http://schemas.microsoft.com/office/drawing/2015/06/chart">
            <c:ext xmlns:c16="http://schemas.microsoft.com/office/drawing/2014/chart" uri="{C3380CC4-5D6E-409C-BE32-E72D297353CC}">
              <c16:uniqueId val="{00000014-912D-4D84-B94C-6EB99A8E2F10}"/>
            </c:ext>
          </c:extLst>
        </c:ser>
        <c:dLbls>
          <c:dLblPos val="r"/>
          <c:showLegendKey val="0"/>
          <c:showVal val="1"/>
          <c:showCatName val="0"/>
          <c:showSerName val="0"/>
          <c:showPercent val="0"/>
          <c:showBubbleSize val="0"/>
        </c:dLbls>
        <c:marker val="1"/>
        <c:smooth val="0"/>
        <c:axId val="238874552"/>
        <c:axId val="238874944"/>
      </c:lineChart>
      <c:catAx>
        <c:axId val="238874552"/>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8874944"/>
        <c:crosses val="autoZero"/>
        <c:auto val="1"/>
        <c:lblAlgn val="ctr"/>
        <c:lblOffset val="100"/>
        <c:noMultiLvlLbl val="0"/>
      </c:catAx>
      <c:valAx>
        <c:axId val="238874944"/>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8874552"/>
        <c:crosses val="autoZero"/>
        <c:crossBetween val="between"/>
      </c:valAx>
    </c:plotArea>
    <c:legend>
      <c:legendPos val="r"/>
      <c:layout>
        <c:manualLayout>
          <c:xMode val="edge"/>
          <c:yMode val="edge"/>
          <c:x val="0.8437414712421103"/>
          <c:y val="0.30097470587998859"/>
          <c:w val="0.15336884081597291"/>
          <c:h val="0.46151777779832065"/>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b="1" i="0" u="none" strike="noStrike" baseline="0">
                <a:effectLst/>
                <a:latin typeface="Calibri" pitchFamily="34" charset="0"/>
              </a:rPr>
              <a:t>Number of Certificates Awarded</a:t>
            </a:r>
            <a:endParaRPr lang="en-US" sz="1050">
              <a:latin typeface="Calibri" pitchFamily="34" charset="0"/>
            </a:endParaRPr>
          </a:p>
        </c:rich>
      </c:tx>
      <c:layout>
        <c:manualLayout>
          <c:xMode val="edge"/>
          <c:yMode val="edge"/>
          <c:x val="0.36315133072260608"/>
          <c:y val="0"/>
        </c:manualLayout>
      </c:layout>
      <c:overlay val="1"/>
    </c:title>
    <c:autoTitleDeleted val="0"/>
    <c:plotArea>
      <c:layout>
        <c:manualLayout>
          <c:layoutTarget val="inner"/>
          <c:xMode val="edge"/>
          <c:yMode val="edge"/>
          <c:x val="6.0905468850726882E-2"/>
          <c:y val="0.11991429676279756"/>
          <c:w val="0.74988432336853783"/>
          <c:h val="0.78071481772289364"/>
        </c:manualLayout>
      </c:layout>
      <c:lineChart>
        <c:grouping val="standard"/>
        <c:varyColors val="0"/>
        <c:ser>
          <c:idx val="0"/>
          <c:order val="0"/>
          <c:tx>
            <c:strRef>
              <c:f>Sheet1!$B$1</c:f>
              <c:strCache>
                <c:ptCount val="1"/>
                <c:pt idx="0">
                  <c:v>Coastline</c:v>
                </c:pt>
              </c:strCache>
            </c:strRef>
          </c:tx>
          <c:spPr>
            <a:ln w="25400" cap="flat" cmpd="sng" algn="ctr">
              <a:solidFill>
                <a:srgbClr val="4F81BD">
                  <a:lumMod val="75000"/>
                </a:srgbClr>
              </a:solidFill>
              <a:prstDash val="solid"/>
            </a:ln>
            <a:effectLst/>
          </c:spPr>
          <c:marker>
            <c:spPr>
              <a:solidFill>
                <a:schemeClr val="lt1"/>
              </a:solidFill>
              <a:ln w="25400" cap="flat" cmpd="sng" algn="ctr">
                <a:solidFill>
                  <a:srgbClr val="4F81BD">
                    <a:lumMod val="75000"/>
                  </a:srgbClr>
                </a:solidFill>
                <a:prstDash val="solid"/>
              </a:ln>
              <a:effectLst/>
            </c:spPr>
          </c:marker>
          <c:dLbls>
            <c:dLbl>
              <c:idx val="1"/>
              <c:layout>
                <c:manualLayout>
                  <c:x val="-1.0134373577270379E-2"/>
                  <c:y val="-3.9742865679121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20-4ECF-9ACB-D3B77D0C3E79}"/>
                </c:ext>
                <c:ext xmlns:c15="http://schemas.microsoft.com/office/drawing/2012/chart" uri="{CE6537A1-D6FC-4f65-9D91-7224C49458BB}"/>
              </c:extLst>
            </c:dLbl>
            <c:dLbl>
              <c:idx val="2"/>
              <c:layout>
                <c:manualLayout>
                  <c:x val="-4.6441898311771569E-2"/>
                  <c:y val="-2.01590223498685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20-4ECF-9ACB-D3B77D0C3E79}"/>
                </c:ext>
                <c:ext xmlns:c15="http://schemas.microsoft.com/office/drawing/2012/chart" uri="{CE6537A1-D6FC-4f65-9D91-7224C49458BB}"/>
              </c:extLst>
            </c:dLbl>
            <c:dLbl>
              <c:idx val="3"/>
              <c:layout>
                <c:manualLayout>
                  <c:x val="-5.0072650785221627E-2"/>
                  <c:y val="-2.50549831821818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20-4ECF-9ACB-D3B77D0C3E79}"/>
                </c:ext>
                <c:ext xmlns:c15="http://schemas.microsoft.com/office/drawing/2012/chart" uri="{CE6537A1-D6FC-4f65-9D91-7224C49458BB}"/>
              </c:extLst>
            </c:dLbl>
            <c:dLbl>
              <c:idx val="4"/>
              <c:layout>
                <c:manualLayout>
                  <c:x val="-4.6882448670951624E-3"/>
                  <c:y val="-1.52630615175550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20-4ECF-9ACB-D3B77D0C3E79}"/>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1"/>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Sheet1!$B$2:$B$6</c:f>
              <c:numCache>
                <c:formatCode>#,##0</c:formatCode>
                <c:ptCount val="5"/>
                <c:pt idx="0">
                  <c:v>269</c:v>
                </c:pt>
                <c:pt idx="1">
                  <c:v>334</c:v>
                </c:pt>
                <c:pt idx="2">
                  <c:v>469</c:v>
                </c:pt>
                <c:pt idx="3">
                  <c:v>421</c:v>
                </c:pt>
                <c:pt idx="4">
                  <c:v>371</c:v>
                </c:pt>
              </c:numCache>
            </c:numRef>
          </c:val>
          <c:smooth val="0"/>
          <c:extLst xmlns:c16r2="http://schemas.microsoft.com/office/drawing/2015/06/chart">
            <c:ext xmlns:c16="http://schemas.microsoft.com/office/drawing/2014/chart" uri="{C3380CC4-5D6E-409C-BE32-E72D297353CC}">
              <c16:uniqueId val="{00000004-AE20-4ECF-9ACB-D3B77D0C3E79}"/>
            </c:ext>
          </c:extLst>
        </c:ser>
        <c:ser>
          <c:idx val="1"/>
          <c:order val="1"/>
          <c:tx>
            <c:strRef>
              <c:f>Sheet1!$C$1</c:f>
              <c:strCache>
                <c:ptCount val="1"/>
                <c:pt idx="0">
                  <c:v>Golden West</c:v>
                </c:pt>
              </c:strCache>
            </c:strRef>
          </c:tx>
          <c:spPr>
            <a:ln w="25400" cap="flat" cmpd="sng" algn="ctr">
              <a:solidFill>
                <a:srgbClr val="9BBB59">
                  <a:lumMod val="50000"/>
                </a:srgbClr>
              </a:solidFill>
              <a:prstDash val="solid"/>
            </a:ln>
            <a:effectLst/>
          </c:spPr>
          <c:marker>
            <c:spPr>
              <a:solidFill>
                <a:schemeClr val="lt1"/>
              </a:solidFill>
              <a:ln w="25400" cap="flat" cmpd="sng" algn="ctr">
                <a:solidFill>
                  <a:srgbClr val="9BBB59">
                    <a:lumMod val="50000"/>
                  </a:srgbClr>
                </a:solidFill>
                <a:prstDash val="solid"/>
              </a:ln>
              <a:effectLst/>
            </c:spPr>
          </c:marker>
          <c:dLbls>
            <c:dLbl>
              <c:idx val="0"/>
              <c:layout>
                <c:manualLayout>
                  <c:x val="-3.0861396024326058E-2"/>
                  <c:y val="-3.91676866585067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E20-4ECF-9ACB-D3B77D0C3E79}"/>
                </c:ext>
                <c:ext xmlns:c15="http://schemas.microsoft.com/office/drawing/2012/chart" uri="{CE6537A1-D6FC-4f65-9D91-7224C49458BB}"/>
              </c:extLst>
            </c:dLbl>
            <c:dLbl>
              <c:idx val="1"/>
              <c:layout>
                <c:manualLayout>
                  <c:x val="-3.2676772261051104E-2"/>
                  <c:y val="-3.91676866585067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E20-4ECF-9ACB-D3B77D0C3E79}"/>
                </c:ext>
                <c:ext xmlns:c15="http://schemas.microsoft.com/office/drawing/2012/chart" uri="{CE6537A1-D6FC-4f65-9D91-7224C49458BB}"/>
              </c:extLst>
            </c:dLbl>
            <c:dLbl>
              <c:idx val="2"/>
              <c:layout>
                <c:manualLayout>
                  <c:x val="-4.9015158391576656E-2"/>
                  <c:y val="-1.95838433292534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E20-4ECF-9ACB-D3B77D0C3E79}"/>
                </c:ext>
                <c:ext xmlns:c15="http://schemas.microsoft.com/office/drawing/2012/chart" uri="{CE6537A1-D6FC-4f65-9D91-7224C49458BB}"/>
              </c:extLst>
            </c:dLbl>
            <c:dLbl>
              <c:idx val="3"/>
              <c:layout>
                <c:manualLayout>
                  <c:x val="-2.723064355087592E-2"/>
                  <c:y val="-4.4063647490820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E20-4ECF-9ACB-D3B77D0C3E79}"/>
                </c:ext>
                <c:ext xmlns:c15="http://schemas.microsoft.com/office/drawing/2012/chart" uri="{CE6537A1-D6FC-4f65-9D91-7224C49458BB}"/>
              </c:extLst>
            </c:dLbl>
            <c:spPr>
              <a:solidFill>
                <a:sysClr val="window" lastClr="FFFFFF">
                  <a:alpha val="60000"/>
                </a:sysClr>
              </a:solidFill>
            </c:spPr>
            <c:txPr>
              <a:bodyPr/>
              <a:lstStyle/>
              <a:p>
                <a:pPr>
                  <a:defRPr sz="800" b="1" baseline="0">
                    <a:solidFill>
                      <a:schemeClr val="accent3">
                        <a:lumMod val="50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Sheet1!$C$2:$C$6</c:f>
              <c:numCache>
                <c:formatCode>#,##0</c:formatCode>
                <c:ptCount val="5"/>
                <c:pt idx="0">
                  <c:v>1029</c:v>
                </c:pt>
                <c:pt idx="1">
                  <c:v>1121</c:v>
                </c:pt>
                <c:pt idx="2">
                  <c:v>1384</c:v>
                </c:pt>
                <c:pt idx="3">
                  <c:v>1363</c:v>
                </c:pt>
                <c:pt idx="4">
                  <c:v>1655</c:v>
                </c:pt>
              </c:numCache>
            </c:numRef>
          </c:val>
          <c:smooth val="0"/>
          <c:extLst xmlns:c16r2="http://schemas.microsoft.com/office/drawing/2015/06/chart">
            <c:ext xmlns:c16="http://schemas.microsoft.com/office/drawing/2014/chart" uri="{C3380CC4-5D6E-409C-BE32-E72D297353CC}">
              <c16:uniqueId val="{00000009-AE20-4ECF-9ACB-D3B77D0C3E79}"/>
            </c:ext>
          </c:extLst>
        </c:ser>
        <c:ser>
          <c:idx val="2"/>
          <c:order val="2"/>
          <c:tx>
            <c:strRef>
              <c:f>Sheet1!$D$1</c:f>
              <c:strCache>
                <c:ptCount val="1"/>
                <c:pt idx="0">
                  <c:v>Orange Coast</c:v>
                </c:pt>
              </c:strCache>
            </c:strRef>
          </c:tx>
          <c:spPr>
            <a:ln w="25400" cap="flat" cmpd="sng" algn="ctr">
              <a:solidFill>
                <a:srgbClr val="F79646">
                  <a:lumMod val="75000"/>
                </a:srgbClr>
              </a:solidFill>
              <a:prstDash val="solid"/>
            </a:ln>
            <a:effectLst/>
          </c:spPr>
          <c:marker>
            <c:spPr>
              <a:solidFill>
                <a:schemeClr val="lt1"/>
              </a:solidFill>
              <a:ln w="25400" cap="flat" cmpd="sng" algn="ctr">
                <a:solidFill>
                  <a:srgbClr val="F79646">
                    <a:lumMod val="75000"/>
                  </a:srgbClr>
                </a:solidFill>
                <a:prstDash val="solid"/>
              </a:ln>
              <a:effectLst/>
            </c:spPr>
          </c:marker>
          <c:dLbls>
            <c:dLbl>
              <c:idx val="1"/>
              <c:layout>
                <c:manualLayout>
                  <c:x val="-5.1130143178866702E-2"/>
                  <c:y val="1.95838433292532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E20-4ECF-9ACB-D3B77D0C3E79}"/>
                </c:ext>
                <c:ext xmlns:c15="http://schemas.microsoft.com/office/drawing/2012/chart" uri="{CE6537A1-D6FC-4f65-9D91-7224C49458BB}"/>
              </c:extLst>
            </c:dLbl>
            <c:dLbl>
              <c:idx val="2"/>
              <c:layout>
                <c:manualLayout>
                  <c:x val="-4.3868638231966552E-2"/>
                  <c:y val="-1.95838433292533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E20-4ECF-9ACB-D3B77D0C3E79}"/>
                </c:ext>
                <c:ext xmlns:c15="http://schemas.microsoft.com/office/drawing/2012/chart" uri="{CE6537A1-D6FC-4f65-9D91-7224C49458BB}"/>
              </c:extLst>
            </c:dLbl>
            <c:dLbl>
              <c:idx val="3"/>
              <c:layout>
                <c:manualLayout>
                  <c:x val="-5.2945519415591863E-2"/>
                  <c:y val="-4.4063647490820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E20-4ECF-9ACB-D3B77D0C3E79}"/>
                </c:ext>
                <c:ext xmlns:c15="http://schemas.microsoft.com/office/drawing/2012/chart" uri="{CE6537A1-D6FC-4f65-9D91-7224C49458BB}"/>
              </c:extLst>
            </c:dLbl>
            <c:dLbl>
              <c:idx val="4"/>
              <c:layout>
                <c:manualLayout>
                  <c:x val="-2.9345628338165997E-2"/>
                  <c:y val="-4.89596083231334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E20-4ECF-9ACB-D3B77D0C3E79}"/>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Sheet1!$D$2:$D$6</c:f>
              <c:numCache>
                <c:formatCode>#,##0</c:formatCode>
                <c:ptCount val="5"/>
                <c:pt idx="0">
                  <c:v>481</c:v>
                </c:pt>
                <c:pt idx="1">
                  <c:v>489</c:v>
                </c:pt>
                <c:pt idx="2">
                  <c:v>1774</c:v>
                </c:pt>
                <c:pt idx="3">
                  <c:v>2114</c:v>
                </c:pt>
                <c:pt idx="4">
                  <c:v>2247</c:v>
                </c:pt>
              </c:numCache>
            </c:numRef>
          </c:val>
          <c:smooth val="0"/>
          <c:extLst xmlns:c16r2="http://schemas.microsoft.com/office/drawing/2015/06/chart">
            <c:ext xmlns:c16="http://schemas.microsoft.com/office/drawing/2014/chart" uri="{C3380CC4-5D6E-409C-BE32-E72D297353CC}">
              <c16:uniqueId val="{0000000E-AE20-4ECF-9ACB-D3B77D0C3E79}"/>
            </c:ext>
          </c:extLst>
        </c:ser>
        <c:ser>
          <c:idx val="3"/>
          <c:order val="3"/>
          <c:tx>
            <c:strRef>
              <c:f>Sheet1!$E$1</c:f>
              <c:strCache>
                <c:ptCount val="1"/>
                <c:pt idx="0">
                  <c:v>Military</c:v>
                </c:pt>
              </c:strCache>
            </c:strRef>
          </c:tx>
          <c:spPr>
            <a:ln w="25400" cap="flat">
              <a:solidFill>
                <a:srgbClr val="1F497D"/>
              </a:solidFill>
            </a:ln>
          </c:spPr>
          <c:marker>
            <c:symbol val="x"/>
            <c:size val="7"/>
            <c:spPr>
              <a:noFill/>
              <a:ln w="25400">
                <a:solidFill>
                  <a:srgbClr val="1F497D"/>
                </a:solidFill>
              </a:ln>
            </c:spPr>
          </c:marker>
          <c:dLbls>
            <c:dLbl>
              <c:idx val="1"/>
              <c:layout>
                <c:manualLayout>
                  <c:x val="-2.8229815196128866E-3"/>
                  <c:y val="-2.88005859732651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E20-4ECF-9ACB-D3B77D0C3E79}"/>
                </c:ext>
                <c:ext xmlns:c15="http://schemas.microsoft.com/office/drawing/2012/chart" uri="{CE6537A1-D6FC-4f65-9D91-7224C49458BB}"/>
              </c:extLst>
            </c:dLbl>
            <c:dLbl>
              <c:idx val="2"/>
              <c:layout>
                <c:manualLayout>
                  <c:x val="-6.4537339930629753E-3"/>
                  <c:y val="-1.41127034763247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E20-4ECF-9ACB-D3B77D0C3E79}"/>
                </c:ext>
                <c:ext xmlns:c15="http://schemas.microsoft.com/office/drawing/2012/chart" uri="{CE6537A1-D6FC-4f65-9D91-7224C49458BB}"/>
              </c:extLst>
            </c:dLbl>
            <c:dLbl>
              <c:idx val="3"/>
              <c:layout>
                <c:manualLayout>
                  <c:x val="-8.3189258690398345E-3"/>
                  <c:y val="1.52630615175551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E20-4ECF-9ACB-D3B77D0C3E79}"/>
                </c:ext>
                <c:ext xmlns:c15="http://schemas.microsoft.com/office/drawing/2012/chart" uri="{CE6537A1-D6FC-4f65-9D91-7224C49458BB}">
                  <c15:layout>
                    <c:manualLayout>
                      <c:w val="3.2976380811616114E-2"/>
                      <c:h val="7.2289054443469961E-2"/>
                    </c:manualLayout>
                  </c15:layout>
                </c:ext>
              </c:extLst>
            </c:dLbl>
            <c:dLbl>
              <c:idx val="4"/>
              <c:layout>
                <c:manualLayout>
                  <c:x val="-3.1918888417971081E-2"/>
                  <c:y val="3.9742865679121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E20-4ECF-9ACB-D3B77D0C3E79}"/>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Sheet1!$E$2:$E$6</c:f>
              <c:numCache>
                <c:formatCode>#,##0</c:formatCode>
                <c:ptCount val="5"/>
                <c:pt idx="0">
                  <c:v>161</c:v>
                </c:pt>
                <c:pt idx="1">
                  <c:v>234</c:v>
                </c:pt>
                <c:pt idx="2">
                  <c:v>282</c:v>
                </c:pt>
                <c:pt idx="3">
                  <c:v>224</c:v>
                </c:pt>
                <c:pt idx="4">
                  <c:v>218</c:v>
                </c:pt>
              </c:numCache>
            </c:numRef>
          </c:val>
          <c:smooth val="0"/>
          <c:extLst xmlns:c16r2="http://schemas.microsoft.com/office/drawing/2015/06/chart">
            <c:ext xmlns:c16="http://schemas.microsoft.com/office/drawing/2014/chart" uri="{C3380CC4-5D6E-409C-BE32-E72D297353CC}">
              <c16:uniqueId val="{00000013-AE20-4ECF-9ACB-D3B77D0C3E79}"/>
            </c:ext>
          </c:extLst>
        </c:ser>
        <c:ser>
          <c:idx val="4"/>
          <c:order val="4"/>
          <c:tx>
            <c:strRef>
              <c:f>Sheet1!$F$1</c:f>
              <c:strCache>
                <c:ptCount val="1"/>
                <c:pt idx="0">
                  <c:v>District-wide</c:v>
                </c:pt>
              </c:strCache>
            </c:strRef>
          </c:tx>
          <c:dLbls>
            <c:dLbl>
              <c:idx val="0"/>
              <c:layout>
                <c:manualLayout>
                  <c:x val="-3.2676772261051118E-2"/>
                  <c:y val="-3.91676866585067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E20-4ECF-9ACB-D3B77D0C3E79}"/>
                </c:ext>
                <c:ext xmlns:c15="http://schemas.microsoft.com/office/drawing/2012/chart" uri="{CE6537A1-D6FC-4f65-9D91-7224C49458BB}"/>
              </c:extLst>
            </c:dLbl>
            <c:dLbl>
              <c:idx val="1"/>
              <c:layout>
                <c:manualLayout>
                  <c:x val="-3.2676772261051104E-2"/>
                  <c:y val="-4.40636474908200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E20-4ECF-9ACB-D3B77D0C3E79}"/>
                </c:ext>
                <c:ext xmlns:c15="http://schemas.microsoft.com/office/drawing/2012/chart" uri="{CE6537A1-D6FC-4f65-9D91-7224C49458BB}"/>
              </c:extLst>
            </c:dLbl>
            <c:dLbl>
              <c:idx val="2"/>
              <c:layout>
                <c:manualLayout>
                  <c:x val="-2.3599891077425862E-2"/>
                  <c:y val="-3.42717258261933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E20-4ECF-9ACB-D3B77D0C3E79}"/>
                </c:ext>
                <c:ext xmlns:c15="http://schemas.microsoft.com/office/drawing/2012/chart" uri="{CE6537A1-D6FC-4f65-9D91-7224C49458BB}"/>
              </c:extLst>
            </c:dLbl>
            <c:dLbl>
              <c:idx val="3"/>
              <c:layout>
                <c:manualLayout>
                  <c:x val="-5.2645910865026777E-2"/>
                  <c:y val="-3.42717258261933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E20-4ECF-9ACB-D3B77D0C3E79}"/>
                </c:ext>
                <c:ext xmlns:c15="http://schemas.microsoft.com/office/drawing/2012/chart" uri="{CE6537A1-D6FC-4f65-9D91-7224C49458BB}"/>
              </c:extLst>
            </c:dLbl>
            <c:dLbl>
              <c:idx val="4"/>
              <c:layout>
                <c:manualLayout>
                  <c:x val="-4.9015158391576656E-2"/>
                  <c:y val="-4.40636474908200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E20-4ECF-9ACB-D3B77D0C3E7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aseline="0">
                    <a:latin typeface="Calibri" panose="020F0502020204030204"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2012-13</c:v>
                </c:pt>
                <c:pt idx="1">
                  <c:v>2013-14</c:v>
                </c:pt>
                <c:pt idx="2">
                  <c:v>2014-15</c:v>
                </c:pt>
                <c:pt idx="3">
                  <c:v>2015-16</c:v>
                </c:pt>
                <c:pt idx="4">
                  <c:v>2016-17</c:v>
                </c:pt>
              </c:strCache>
            </c:strRef>
          </c:cat>
          <c:val>
            <c:numRef>
              <c:f>Sheet1!$F$2:$F$6</c:f>
              <c:numCache>
                <c:formatCode>#,##0</c:formatCode>
                <c:ptCount val="5"/>
                <c:pt idx="0">
                  <c:v>1940</c:v>
                </c:pt>
                <c:pt idx="1">
                  <c:v>2178</c:v>
                </c:pt>
                <c:pt idx="2">
                  <c:v>3909</c:v>
                </c:pt>
                <c:pt idx="3">
                  <c:v>4122</c:v>
                </c:pt>
                <c:pt idx="4">
                  <c:v>4491</c:v>
                </c:pt>
              </c:numCache>
            </c:numRef>
          </c:val>
          <c:smooth val="0"/>
          <c:extLst xmlns:c16r2="http://schemas.microsoft.com/office/drawing/2015/06/chart">
            <c:ext xmlns:c16="http://schemas.microsoft.com/office/drawing/2014/chart" uri="{C3380CC4-5D6E-409C-BE32-E72D297353CC}">
              <c16:uniqueId val="{00000019-AE20-4ECF-9ACB-D3B77D0C3E79}"/>
            </c:ext>
          </c:extLst>
        </c:ser>
        <c:dLbls>
          <c:dLblPos val="r"/>
          <c:showLegendKey val="0"/>
          <c:showVal val="1"/>
          <c:showCatName val="0"/>
          <c:showSerName val="0"/>
          <c:showPercent val="0"/>
          <c:showBubbleSize val="0"/>
        </c:dLbls>
        <c:marker val="1"/>
        <c:smooth val="0"/>
        <c:axId val="238875728"/>
        <c:axId val="238876120"/>
      </c:lineChart>
      <c:catAx>
        <c:axId val="238875728"/>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8876120"/>
        <c:crosses val="autoZero"/>
        <c:auto val="1"/>
        <c:lblAlgn val="ctr"/>
        <c:lblOffset val="100"/>
        <c:noMultiLvlLbl val="0"/>
      </c:catAx>
      <c:valAx>
        <c:axId val="238876120"/>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8875728"/>
        <c:crosses val="autoZero"/>
        <c:crossBetween val="between"/>
      </c:valAx>
    </c:plotArea>
    <c:legend>
      <c:legendPos val="r"/>
      <c:layout>
        <c:manualLayout>
          <c:xMode val="edge"/>
          <c:yMode val="edge"/>
          <c:x val="0.84022173085641927"/>
          <c:y val="0.28873292919168458"/>
          <c:w val="0.15384441653879224"/>
          <c:h val="0.44266617835561251"/>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en-US" sz="1050" b="1" baseline="0">
                <a:effectLst/>
                <a:latin typeface="Calibri" pitchFamily="34" charset="0"/>
              </a:rPr>
              <a:t>Annual Transfers to UC</a:t>
            </a:r>
            <a:endParaRPr lang="en-US" sz="1050">
              <a:effectLst/>
              <a:latin typeface="Calibri" pitchFamily="34" charset="0"/>
            </a:endParaRPr>
          </a:p>
        </c:rich>
      </c:tx>
      <c:layout>
        <c:manualLayout>
          <c:xMode val="edge"/>
          <c:yMode val="edge"/>
          <c:x val="0.40260785975707214"/>
          <c:y val="0"/>
        </c:manualLayout>
      </c:layout>
      <c:overlay val="1"/>
    </c:title>
    <c:autoTitleDeleted val="0"/>
    <c:plotArea>
      <c:layout>
        <c:manualLayout>
          <c:layoutTarget val="inner"/>
          <c:xMode val="edge"/>
          <c:yMode val="edge"/>
          <c:x val="5.0497702583279583E-2"/>
          <c:y val="0.11052827211627449"/>
          <c:w val="0.75049728987318642"/>
          <c:h val="0.77557206191492523"/>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dLbl>
              <c:idx val="0"/>
              <c:layout>
                <c:manualLayout>
                  <c:x val="-1.4558689717925387E-2"/>
                  <c:y val="-3.08071472581640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58-421B-A6D8-3738840BB3F3}"/>
                </c:ext>
                <c:ext xmlns:c15="http://schemas.microsoft.com/office/drawing/2012/chart" uri="{CE6537A1-D6FC-4f65-9D91-7224C49458BB}"/>
              </c:extLst>
            </c:dLbl>
            <c:dLbl>
              <c:idx val="1"/>
              <c:layout>
                <c:manualLayout>
                  <c:x val="-1.2738853503184679E-2"/>
                  <c:y val="-2.4645717806531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58-421B-A6D8-3738840BB3F3}"/>
                </c:ext>
                <c:ext xmlns:c15="http://schemas.microsoft.com/office/drawing/2012/chart" uri="{CE6537A1-D6FC-4f65-9D91-7224C49458BB}"/>
              </c:extLst>
            </c:dLbl>
            <c:dLbl>
              <c:idx val="2"/>
              <c:layout>
                <c:manualLayout>
                  <c:x val="-1.0919017288444107E-2"/>
                  <c:y val="-2.4645717806531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58-421B-A6D8-3738840BB3F3}"/>
                </c:ext>
                <c:ext xmlns:c15="http://schemas.microsoft.com/office/drawing/2012/chart" uri="{CE6537A1-D6FC-4f65-9D91-7224C49458BB}"/>
              </c:extLst>
            </c:dLbl>
            <c:dLbl>
              <c:idx val="3"/>
              <c:layout>
                <c:manualLayout>
                  <c:x val="-9.0991810737033659E-3"/>
                  <c:y val="-2.4645717806531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58-421B-A6D8-3738840BB3F3}"/>
                </c:ext>
                <c:ext xmlns:c15="http://schemas.microsoft.com/office/drawing/2012/chart" uri="{CE6537A1-D6FC-4f65-9D91-7224C49458BB}"/>
              </c:extLst>
            </c:dLbl>
            <c:dLbl>
              <c:idx val="4"/>
              <c:layout>
                <c:manualLayout>
                  <c:x val="-1.0919017288444041E-2"/>
                  <c:y val="-3.69685767097966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58-421B-A6D8-3738840BB3F3}"/>
                </c:ext>
                <c:ext xmlns:c15="http://schemas.microsoft.com/office/drawing/2012/chart" uri="{CE6537A1-D6FC-4f65-9D91-7224C49458BB}"/>
              </c:extLst>
            </c:dLbl>
            <c:dLbl>
              <c:idx val="5"/>
              <c:layout>
                <c:manualLayout>
                  <c:x val="-7.2793448589626936E-3"/>
                  <c:y val="-2.46457178065312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058-421B-A6D8-3738840BB3F3}"/>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1"/>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Sheet1!$B$2:$B$6</c:f>
              <c:numCache>
                <c:formatCode>#,##0</c:formatCode>
                <c:ptCount val="5"/>
                <c:pt idx="0">
                  <c:v>14</c:v>
                </c:pt>
                <c:pt idx="1">
                  <c:v>16</c:v>
                </c:pt>
                <c:pt idx="2">
                  <c:v>19</c:v>
                </c:pt>
                <c:pt idx="3">
                  <c:v>24</c:v>
                </c:pt>
                <c:pt idx="4">
                  <c:v>24</c:v>
                </c:pt>
              </c:numCache>
            </c:numRef>
          </c:val>
          <c:smooth val="0"/>
          <c:extLst xmlns:c16r2="http://schemas.microsoft.com/office/drawing/2015/06/chart">
            <c:ext xmlns:c16="http://schemas.microsoft.com/office/drawing/2014/chart" uri="{C3380CC4-5D6E-409C-BE32-E72D297353CC}">
              <c16:uniqueId val="{00000006-D058-421B-A6D8-3738840BB3F3}"/>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1"/>
              <c:layout>
                <c:manualLayout>
                  <c:x val="-3.4777070063694265E-2"/>
                  <c:y val="-4.92914356130623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058-421B-A6D8-3738840BB3F3}"/>
                </c:ext>
                <c:ext xmlns:c15="http://schemas.microsoft.com/office/drawing/2012/chart" uri="{CE6537A1-D6FC-4f65-9D91-7224C49458BB}"/>
              </c:extLst>
            </c:dLbl>
            <c:dLbl>
              <c:idx val="2"/>
              <c:layout>
                <c:manualLayout>
                  <c:x val="-4.3876251137397633E-2"/>
                  <c:y val="-3.69685767097966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058-421B-A6D8-3738840BB3F3}"/>
                </c:ext>
                <c:ext xmlns:c15="http://schemas.microsoft.com/office/drawing/2012/chart" uri="{CE6537A1-D6FC-4f65-9D91-7224C49458BB}"/>
              </c:extLst>
            </c:dLbl>
            <c:dLbl>
              <c:idx val="3"/>
              <c:layout>
                <c:manualLayout>
                  <c:x val="-4.2056414922656896E-2"/>
                  <c:y val="-4.31300061614294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58-421B-A6D8-3738840BB3F3}"/>
                </c:ext>
                <c:ext xmlns:c15="http://schemas.microsoft.com/office/drawing/2012/chart" uri="{CE6537A1-D6FC-4f65-9D91-7224C49458BB}"/>
              </c:extLst>
            </c:dLbl>
            <c:dLbl>
              <c:idx val="4"/>
              <c:layout>
                <c:manualLayout>
                  <c:x val="-4.9435779126335191E-2"/>
                  <c:y val="-3.69685767097966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058-421B-A6D8-3738840BB3F3}"/>
                </c:ext>
                <c:ext xmlns:c15="http://schemas.microsoft.com/office/drawing/2012/chart" uri="{CE6537A1-D6FC-4f65-9D91-7224C49458BB}"/>
              </c:extLst>
            </c:dLbl>
            <c:dLbl>
              <c:idx val="5"/>
              <c:layout>
                <c:manualLayout>
                  <c:x val="-1.6678727261003203E-2"/>
                  <c:y val="-6.16142945163277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058-421B-A6D8-3738840BB3F3}"/>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Sheet1!$C$2:$C$6</c:f>
              <c:numCache>
                <c:formatCode>#,##0</c:formatCode>
                <c:ptCount val="5"/>
                <c:pt idx="0">
                  <c:v>111</c:v>
                </c:pt>
                <c:pt idx="1">
                  <c:v>127</c:v>
                </c:pt>
                <c:pt idx="2">
                  <c:v>136</c:v>
                </c:pt>
                <c:pt idx="3">
                  <c:v>119</c:v>
                </c:pt>
                <c:pt idx="4">
                  <c:v>113</c:v>
                </c:pt>
              </c:numCache>
            </c:numRef>
          </c:val>
          <c:smooth val="0"/>
          <c:extLst xmlns:c16r2="http://schemas.microsoft.com/office/drawing/2015/06/chart">
            <c:ext xmlns:c16="http://schemas.microsoft.com/office/drawing/2014/chart" uri="{C3380CC4-5D6E-409C-BE32-E72D297353CC}">
              <c16:uniqueId val="{0000000C-D058-421B-A6D8-3738840BB3F3}"/>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0"/>
              <c:layout>
                <c:manualLayout>
                  <c:x val="-1.0919017288444041E-2"/>
                  <c:y val="-3.69685767097967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058-421B-A6D8-3738840BB3F3}"/>
                </c:ext>
                <c:ext xmlns:c15="http://schemas.microsoft.com/office/drawing/2012/chart" uri="{CE6537A1-D6FC-4f65-9D91-7224C49458BB}"/>
              </c:extLst>
            </c:dLbl>
            <c:dLbl>
              <c:idx val="1"/>
              <c:layout>
                <c:manualLayout>
                  <c:x val="-1.0919017288444006E-2"/>
                  <c:y val="-3.69685767097967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058-421B-A6D8-3738840BB3F3}"/>
                </c:ext>
                <c:ext xmlns:c15="http://schemas.microsoft.com/office/drawing/2012/chart" uri="{CE6537A1-D6FC-4f65-9D91-7224C49458BB}"/>
              </c:extLst>
            </c:dLbl>
            <c:dLbl>
              <c:idx val="2"/>
              <c:layout>
                <c:manualLayout>
                  <c:x val="-5.4595086442220863E-3"/>
                  <c:y val="-3.69685767097966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058-421B-A6D8-3738840BB3F3}"/>
                </c:ext>
                <c:ext xmlns:c15="http://schemas.microsoft.com/office/drawing/2012/chart" uri="{CE6537A1-D6FC-4f65-9D91-7224C49458BB}"/>
              </c:extLst>
            </c:dLbl>
            <c:dLbl>
              <c:idx val="3"/>
              <c:layout>
                <c:manualLayout>
                  <c:x val="-5.4595086442220204E-3"/>
                  <c:y val="-2.4645717806531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058-421B-A6D8-3738840BB3F3}"/>
                </c:ext>
                <c:ext xmlns:c15="http://schemas.microsoft.com/office/drawing/2012/chart" uri="{CE6537A1-D6FC-4f65-9D91-7224C49458BB}"/>
              </c:extLst>
            </c:dLbl>
            <c:dLbl>
              <c:idx val="4"/>
              <c:layout>
                <c:manualLayout>
                  <c:x val="-2.7297543221110235E-2"/>
                  <c:y val="-3.08071472581638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058-421B-A6D8-3738840BB3F3}"/>
                </c:ext>
                <c:ext xmlns:c15="http://schemas.microsoft.com/office/drawing/2012/chart" uri="{CE6537A1-D6FC-4f65-9D91-7224C49458BB}"/>
              </c:extLst>
            </c:dLbl>
            <c:dLbl>
              <c:idx val="5"/>
              <c:layout>
                <c:manualLayout>
                  <c:x val="-2.7297543221110099E-2"/>
                  <c:y val="-5.54528650646950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058-421B-A6D8-3738840BB3F3}"/>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Sheet1!$D$2:$D$6</c:f>
              <c:numCache>
                <c:formatCode>#,##0</c:formatCode>
                <c:ptCount val="5"/>
                <c:pt idx="0">
                  <c:v>493</c:v>
                </c:pt>
                <c:pt idx="1">
                  <c:v>489</c:v>
                </c:pt>
                <c:pt idx="2">
                  <c:v>418</c:v>
                </c:pt>
                <c:pt idx="3">
                  <c:v>393</c:v>
                </c:pt>
                <c:pt idx="4">
                  <c:v>415</c:v>
                </c:pt>
              </c:numCache>
            </c:numRef>
          </c:val>
          <c:smooth val="0"/>
          <c:extLst xmlns:c16r2="http://schemas.microsoft.com/office/drawing/2015/06/chart">
            <c:ext xmlns:c16="http://schemas.microsoft.com/office/drawing/2014/chart" uri="{C3380CC4-5D6E-409C-BE32-E72D297353CC}">
              <c16:uniqueId val="{00000013-D058-421B-A6D8-3738840BB3F3}"/>
            </c:ext>
          </c:extLst>
        </c:ser>
        <c:dLbls>
          <c:dLblPos val="r"/>
          <c:showLegendKey val="0"/>
          <c:showVal val="1"/>
          <c:showCatName val="0"/>
          <c:showSerName val="0"/>
          <c:showPercent val="0"/>
          <c:showBubbleSize val="0"/>
        </c:dLbls>
        <c:marker val="1"/>
        <c:smooth val="0"/>
        <c:axId val="238876904"/>
        <c:axId val="238877296"/>
      </c:lineChart>
      <c:catAx>
        <c:axId val="238876904"/>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8877296"/>
        <c:crosses val="autoZero"/>
        <c:auto val="1"/>
        <c:lblAlgn val="ctr"/>
        <c:lblOffset val="100"/>
        <c:noMultiLvlLbl val="0"/>
      </c:catAx>
      <c:valAx>
        <c:axId val="238877296"/>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8876904"/>
        <c:crosses val="autoZero"/>
        <c:crossBetween val="between"/>
      </c:valAx>
    </c:plotArea>
    <c:legend>
      <c:legendPos val="r"/>
      <c:layout>
        <c:manualLayout>
          <c:xMode val="edge"/>
          <c:yMode val="edge"/>
          <c:x val="0.82869980705677759"/>
          <c:y val="0.2784730033745782"/>
          <c:w val="0.16956256730990546"/>
          <c:h val="0.43039690081843213"/>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50"/>
            </a:pPr>
            <a:r>
              <a:rPr lang="en-US" sz="1050"/>
              <a:t>Annual Transfers to CSU</a:t>
            </a:r>
          </a:p>
        </c:rich>
      </c:tx>
      <c:layout>
        <c:manualLayout>
          <c:xMode val="edge"/>
          <c:yMode val="edge"/>
          <c:x val="0.39805995821377443"/>
          <c:y val="0"/>
        </c:manualLayout>
      </c:layout>
      <c:overlay val="1"/>
    </c:title>
    <c:autoTitleDeleted val="0"/>
    <c:plotArea>
      <c:layout>
        <c:manualLayout>
          <c:layoutTarget val="inner"/>
          <c:xMode val="edge"/>
          <c:yMode val="edge"/>
          <c:x val="6.0532274190904192E-2"/>
          <c:y val="0.11052827211627449"/>
          <c:w val="0.74321119197042185"/>
          <c:h val="0.77557206191492523"/>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dLbl>
              <c:idx val="0"/>
              <c:layout>
                <c:manualLayout>
                  <c:x val="-5.4530582568390442E-3"/>
                  <c:y val="-4.1775456919060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8E7-4030-9341-043E28363242}"/>
                </c:ext>
                <c:ext xmlns:c15="http://schemas.microsoft.com/office/drawing/2012/chart" uri="{CE6537A1-D6FC-4f65-9D91-7224C49458BB}"/>
              </c:extLst>
            </c:dLbl>
            <c:dLbl>
              <c:idx val="1"/>
              <c:layout>
                <c:manualLayout>
                  <c:x val="-1.0906116513678088E-2"/>
                  <c:y val="-3.13315926892951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E7-4030-9341-043E28363242}"/>
                </c:ext>
                <c:ext xmlns:c15="http://schemas.microsoft.com/office/drawing/2012/chart" uri="{CE6537A1-D6FC-4f65-9D91-7224C49458BB}"/>
              </c:extLst>
            </c:dLbl>
            <c:dLbl>
              <c:idx val="2"/>
              <c:layout>
                <c:manualLayout>
                  <c:x val="-1.2723802599291102E-2"/>
                  <c:y val="-3.13315926892951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8E7-4030-9341-043E28363242}"/>
                </c:ext>
                <c:ext xmlns:c15="http://schemas.microsoft.com/office/drawing/2012/chart" uri="{CE6537A1-D6FC-4f65-9D91-7224C49458BB}"/>
              </c:extLst>
            </c:dLbl>
            <c:dLbl>
              <c:idx val="3"/>
              <c:layout>
                <c:manualLayout>
                  <c:x val="-1.4541488684904184E-2"/>
                  <c:y val="-3.13315926892949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8E7-4030-9341-043E28363242}"/>
                </c:ext>
                <c:ext xmlns:c15="http://schemas.microsoft.com/office/drawing/2012/chart" uri="{CE6537A1-D6FC-4f65-9D91-7224C49458BB}"/>
              </c:extLst>
            </c:dLbl>
            <c:dLbl>
              <c:idx val="4"/>
              <c:layout>
                <c:manualLayout>
                  <c:x val="-2.726529128419522E-2"/>
                  <c:y val="-3.13315926892950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8E7-4030-9341-043E28363242}"/>
                </c:ext>
                <c:ext xmlns:c15="http://schemas.microsoft.com/office/drawing/2012/chart" uri="{CE6537A1-D6FC-4f65-9D91-7224C49458BB}"/>
              </c:extLst>
            </c:dLbl>
            <c:dLbl>
              <c:idx val="5"/>
              <c:layout>
                <c:manualLayout>
                  <c:x val="-2.7265291284195352E-2"/>
                  <c:y val="-4.69973890339425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8E7-4030-9341-043E28363242}"/>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1"/>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2011-12</c:v>
                </c:pt>
                <c:pt idx="1">
                  <c:v>2012-13</c:v>
                </c:pt>
                <c:pt idx="2">
                  <c:v>2013-14</c:v>
                </c:pt>
                <c:pt idx="3">
                  <c:v>2014-15</c:v>
                </c:pt>
                <c:pt idx="4">
                  <c:v>2015-16</c:v>
                </c:pt>
                <c:pt idx="5">
                  <c:v>2016-17</c:v>
                </c:pt>
              </c:strCache>
            </c:strRef>
          </c:cat>
          <c:val>
            <c:numRef>
              <c:f>Sheet1!$B$2:$B$7</c:f>
              <c:numCache>
                <c:formatCode>#,##0</c:formatCode>
                <c:ptCount val="6"/>
                <c:pt idx="0">
                  <c:v>75</c:v>
                </c:pt>
                <c:pt idx="1">
                  <c:v>84</c:v>
                </c:pt>
                <c:pt idx="2">
                  <c:v>86</c:v>
                </c:pt>
                <c:pt idx="3">
                  <c:v>114</c:v>
                </c:pt>
                <c:pt idx="4">
                  <c:v>108</c:v>
                </c:pt>
                <c:pt idx="5">
                  <c:v>95</c:v>
                </c:pt>
              </c:numCache>
            </c:numRef>
          </c:val>
          <c:smooth val="0"/>
          <c:extLst xmlns:c16r2="http://schemas.microsoft.com/office/drawing/2015/06/chart">
            <c:ext xmlns:c16="http://schemas.microsoft.com/office/drawing/2014/chart" uri="{C3380CC4-5D6E-409C-BE32-E72D297353CC}">
              <c16:uniqueId val="{00000006-28E7-4030-9341-043E28363242}"/>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1"/>
              <c:layout>
                <c:manualLayout>
                  <c:x val="-5.3012886249347885E-2"/>
                  <c:y val="-3.13315926892950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8E7-4030-9341-043E28363242}"/>
                </c:ext>
                <c:ext xmlns:c15="http://schemas.microsoft.com/office/drawing/2012/chart" uri="{CE6537A1-D6FC-4f65-9D91-7224C49458BB}"/>
              </c:extLst>
            </c:dLbl>
            <c:dLbl>
              <c:idx val="2"/>
              <c:layout>
                <c:manualLayout>
                  <c:x val="-4.937751407812186E-2"/>
                  <c:y val="-2.08877284595301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8E7-4030-9341-043E28363242}"/>
                </c:ext>
                <c:ext xmlns:c15="http://schemas.microsoft.com/office/drawing/2012/chart" uri="{CE6537A1-D6FC-4f65-9D91-7224C49458BB}"/>
              </c:extLst>
            </c:dLbl>
            <c:dLbl>
              <c:idx val="3"/>
              <c:layout>
                <c:manualLayout>
                  <c:x val="-3.8471397564443836E-2"/>
                  <c:y val="-5.7441253263707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8E7-4030-9341-043E28363242}"/>
                </c:ext>
                <c:ext xmlns:c15="http://schemas.microsoft.com/office/drawing/2012/chart" uri="{CE6537A1-D6FC-4f65-9D91-7224C49458BB}"/>
              </c:extLst>
            </c:dLbl>
            <c:dLbl>
              <c:idx val="4"/>
              <c:layout>
                <c:manualLayout>
                  <c:x val="-4.3924455821282814E-2"/>
                  <c:y val="-3.65535248041775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8E7-4030-9341-043E28363242}"/>
                </c:ext>
                <c:ext xmlns:c15="http://schemas.microsoft.com/office/drawing/2012/chart" uri="{CE6537A1-D6FC-4f65-9D91-7224C49458BB}"/>
              </c:extLst>
            </c:dLbl>
            <c:dLbl>
              <c:idx val="5"/>
              <c:layout>
                <c:manualLayout>
                  <c:x val="-1.3023792365861566E-2"/>
                  <c:y val="-4.69973890339425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8E7-4030-9341-043E28363242}"/>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2011-12</c:v>
                </c:pt>
                <c:pt idx="1">
                  <c:v>2012-13</c:v>
                </c:pt>
                <c:pt idx="2">
                  <c:v>2013-14</c:v>
                </c:pt>
                <c:pt idx="3">
                  <c:v>2014-15</c:v>
                </c:pt>
                <c:pt idx="4">
                  <c:v>2015-16</c:v>
                </c:pt>
                <c:pt idx="5">
                  <c:v>2016-17</c:v>
                </c:pt>
              </c:strCache>
            </c:strRef>
          </c:cat>
          <c:val>
            <c:numRef>
              <c:f>Sheet1!$C$2:$C$7</c:f>
              <c:numCache>
                <c:formatCode>#,##0</c:formatCode>
                <c:ptCount val="6"/>
                <c:pt idx="0">
                  <c:v>611</c:v>
                </c:pt>
                <c:pt idx="1">
                  <c:v>549</c:v>
                </c:pt>
                <c:pt idx="2">
                  <c:v>732</c:v>
                </c:pt>
                <c:pt idx="3">
                  <c:v>771</c:v>
                </c:pt>
                <c:pt idx="4">
                  <c:v>783</c:v>
                </c:pt>
                <c:pt idx="5">
                  <c:v>843</c:v>
                </c:pt>
              </c:numCache>
            </c:numRef>
          </c:val>
          <c:smooth val="0"/>
          <c:extLst xmlns:c16r2="http://schemas.microsoft.com/office/drawing/2015/06/chart">
            <c:ext xmlns:c16="http://schemas.microsoft.com/office/drawing/2014/chart" uri="{C3380CC4-5D6E-409C-BE32-E72D297353CC}">
              <c16:uniqueId val="{0000000C-28E7-4030-9341-043E28363242}"/>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0"/>
              <c:layout>
                <c:manualLayout>
                  <c:x val="-1.8176860856130312E-3"/>
                  <c:y val="-2.61096605744125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8E7-4030-9341-043E28363242}"/>
                </c:ext>
                <c:ext xmlns:c15="http://schemas.microsoft.com/office/drawing/2012/chart" uri="{CE6537A1-D6FC-4f65-9D91-7224C49458BB}"/>
              </c:extLst>
            </c:dLbl>
            <c:dLbl>
              <c:idx val="2"/>
              <c:layout>
                <c:manualLayout>
                  <c:x val="-1.0906116513678088E-2"/>
                  <c:y val="-2.610966057441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8E7-4030-9341-043E28363242}"/>
                </c:ext>
                <c:ext xmlns:c15="http://schemas.microsoft.com/office/drawing/2012/chart" uri="{CE6537A1-D6FC-4f65-9D91-7224C49458BB}"/>
              </c:extLst>
            </c:dLbl>
            <c:dLbl>
              <c:idx val="3"/>
              <c:layout>
                <c:manualLayout>
                  <c:x val="-2.3629919112969189E-2"/>
                  <c:y val="-3.13315926892950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8E7-4030-9341-043E28363242}"/>
                </c:ext>
                <c:ext xmlns:c15="http://schemas.microsoft.com/office/drawing/2012/chart" uri="{CE6537A1-D6FC-4f65-9D91-7224C49458BB}"/>
              </c:extLst>
            </c:dLbl>
            <c:dLbl>
              <c:idx val="4"/>
              <c:layout>
                <c:manualLayout>
                  <c:x val="-2.9082977369808236E-2"/>
                  <c:y val="-4.69973890339426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8E7-4030-9341-043E28363242}"/>
                </c:ext>
                <c:ext xmlns:c15="http://schemas.microsoft.com/office/drawing/2012/chart" uri="{CE6537A1-D6FC-4f65-9D91-7224C49458BB}"/>
              </c:extLst>
            </c:dLbl>
            <c:dLbl>
              <c:idx val="5"/>
              <c:layout>
                <c:manualLayout>
                  <c:x val="-3.2718349541034267E-2"/>
                  <c:y val="-4.69973890339425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8E7-4030-9341-043E28363242}"/>
                </c:ext>
                <c:ext xmlns:c15="http://schemas.microsoft.com/office/drawing/2012/chart" uri="{CE6537A1-D6FC-4f65-9D91-7224C49458BB}"/>
              </c:extLst>
            </c:dLbl>
            <c:dLbl>
              <c:idx val="6"/>
              <c:layout>
                <c:manualLayout>
                  <c:x val="-9.0884304280652063E-3"/>
                  <c:y val="-1.5665796344647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8E7-4030-9341-043E28363242}"/>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6">
                        <a:lumMod val="75000"/>
                      </a:schemeClr>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2011-12</c:v>
                </c:pt>
                <c:pt idx="1">
                  <c:v>2012-13</c:v>
                </c:pt>
                <c:pt idx="2">
                  <c:v>2013-14</c:v>
                </c:pt>
                <c:pt idx="3">
                  <c:v>2014-15</c:v>
                </c:pt>
                <c:pt idx="4">
                  <c:v>2015-16</c:v>
                </c:pt>
                <c:pt idx="5">
                  <c:v>2016-17</c:v>
                </c:pt>
              </c:strCache>
            </c:strRef>
          </c:cat>
          <c:val>
            <c:numRef>
              <c:f>Sheet1!$D$2:$D$7</c:f>
              <c:numCache>
                <c:formatCode>#,##0</c:formatCode>
                <c:ptCount val="6"/>
                <c:pt idx="0">
                  <c:v>1424</c:v>
                </c:pt>
                <c:pt idx="1">
                  <c:v>1207</c:v>
                </c:pt>
                <c:pt idx="2">
                  <c:v>1349</c:v>
                </c:pt>
                <c:pt idx="3">
                  <c:v>1451</c:v>
                </c:pt>
                <c:pt idx="4">
                  <c:v>1474</c:v>
                </c:pt>
                <c:pt idx="5">
                  <c:v>1402</c:v>
                </c:pt>
              </c:numCache>
            </c:numRef>
          </c:val>
          <c:smooth val="0"/>
          <c:extLst xmlns:c16r2="http://schemas.microsoft.com/office/drawing/2015/06/chart">
            <c:ext xmlns:c16="http://schemas.microsoft.com/office/drawing/2014/chart" uri="{C3380CC4-5D6E-409C-BE32-E72D297353CC}">
              <c16:uniqueId val="{00000013-28E7-4030-9341-043E28363242}"/>
            </c:ext>
          </c:extLst>
        </c:ser>
        <c:dLbls>
          <c:dLblPos val="r"/>
          <c:showLegendKey val="0"/>
          <c:showVal val="1"/>
          <c:showCatName val="0"/>
          <c:showSerName val="0"/>
          <c:showPercent val="0"/>
          <c:showBubbleSize val="0"/>
        </c:dLbls>
        <c:marker val="1"/>
        <c:smooth val="0"/>
        <c:axId val="238878080"/>
        <c:axId val="239596224"/>
      </c:lineChart>
      <c:catAx>
        <c:axId val="238878080"/>
        <c:scaling>
          <c:orientation val="minMax"/>
        </c:scaling>
        <c:delete val="0"/>
        <c:axPos val="b"/>
        <c:numFmt formatCode="General" sourceLinked="1"/>
        <c:majorTickMark val="out"/>
        <c:minorTickMark val="none"/>
        <c:tickLblPos val="nextTo"/>
        <c:crossAx val="239596224"/>
        <c:crosses val="autoZero"/>
        <c:auto val="1"/>
        <c:lblAlgn val="ctr"/>
        <c:lblOffset val="100"/>
        <c:noMultiLvlLbl val="0"/>
      </c:catAx>
      <c:valAx>
        <c:axId val="239596224"/>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238878080"/>
        <c:crosses val="autoZero"/>
        <c:crossBetween val="between"/>
      </c:valAx>
    </c:plotArea>
    <c:legend>
      <c:legendPos val="r"/>
      <c:layout>
        <c:manualLayout>
          <c:xMode val="edge"/>
          <c:yMode val="edge"/>
          <c:x val="0.84116467803487749"/>
          <c:y val="0.29076319663304323"/>
          <c:w val="0.15693260483318497"/>
          <c:h val="0.33187466224223749"/>
        </c:manualLayout>
      </c:layout>
      <c:overlay val="0"/>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en-US" sz="1050" b="1" baseline="0">
                <a:effectLst/>
                <a:latin typeface="Calibri" pitchFamily="34" charset="0"/>
              </a:rPr>
              <a:t>Transfer to In-State Private and Out of State Four-year Institutions</a:t>
            </a:r>
            <a:endParaRPr lang="en-US" sz="1050">
              <a:effectLst/>
              <a:latin typeface="Calibri" pitchFamily="34" charset="0"/>
            </a:endParaRPr>
          </a:p>
        </c:rich>
      </c:tx>
      <c:layout>
        <c:manualLayout>
          <c:xMode val="edge"/>
          <c:yMode val="edge"/>
          <c:x val="0.23148815970393058"/>
          <c:y val="0"/>
        </c:manualLayout>
      </c:layout>
      <c:overlay val="1"/>
    </c:title>
    <c:autoTitleDeleted val="0"/>
    <c:plotArea>
      <c:layout>
        <c:manualLayout>
          <c:layoutTarget val="inner"/>
          <c:xMode val="edge"/>
          <c:yMode val="edge"/>
          <c:x val="6.2608782010356814E-2"/>
          <c:y val="0.11052827211627449"/>
          <c:w val="0.73954170823412357"/>
          <c:h val="0.77557206191492523"/>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dLbl>
              <c:idx val="0"/>
              <c:layout>
                <c:manualLayout>
                  <c:x val="-3.1061087410365798E-2"/>
                  <c:y val="-2.79589934762349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FD-41A5-8094-83FF4E84EA5A}"/>
                </c:ext>
                <c:ext xmlns:c15="http://schemas.microsoft.com/office/drawing/2012/chart" uri="{CE6537A1-D6FC-4f65-9D91-7224C49458BB}"/>
              </c:extLst>
            </c:dLbl>
            <c:dLbl>
              <c:idx val="1"/>
              <c:layout>
                <c:manualLayout>
                  <c:x val="-3.9230280475628605E-2"/>
                  <c:y val="-2.5629077353215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FD-41A5-8094-83FF4E84EA5A}"/>
                </c:ext>
                <c:ext xmlns:c15="http://schemas.microsoft.com/office/drawing/2012/chart" uri="{CE6537A1-D6FC-4f65-9D91-7224C49458BB}">
                  <c15:layout>
                    <c:manualLayout>
                      <c:w val="2.7430334936915674E-2"/>
                      <c:h val="7.3462438816769532E-2"/>
                    </c:manualLayout>
                  </c15:layout>
                </c:ext>
              </c:extLst>
            </c:dLbl>
            <c:dLbl>
              <c:idx val="2"/>
              <c:layout>
                <c:manualLayout>
                  <c:x val="-4.0237885758516369E-2"/>
                  <c:y val="-1.86393289841566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FD-41A5-8094-83FF4E84EA5A}"/>
                </c:ext>
                <c:ext xmlns:c15="http://schemas.microsoft.com/office/drawing/2012/chart" uri="{CE6537A1-D6FC-4f65-9D91-7224C49458BB}"/>
              </c:extLst>
            </c:dLbl>
            <c:dLbl>
              <c:idx val="3"/>
              <c:layout>
                <c:manualLayout>
                  <c:x val="-4.5684014468691553E-2"/>
                  <c:y val="-2.79589934762350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1FD-41A5-8094-83FF4E84EA5A}"/>
                </c:ext>
                <c:ext xmlns:c15="http://schemas.microsoft.com/office/drawing/2012/chart" uri="{CE6537A1-D6FC-4f65-9D91-7224C49458BB}"/>
              </c:extLst>
            </c:dLbl>
            <c:dLbl>
              <c:idx val="4"/>
              <c:layout>
                <c:manualLayout>
                  <c:x val="-2.9345628338165997E-2"/>
                  <c:y val="-4.19384902143523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FD-41A5-8094-83FF4E84EA5A}"/>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1"/>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2011-12</c:v>
                </c:pt>
                <c:pt idx="1">
                  <c:v>2012-13</c:v>
                </c:pt>
                <c:pt idx="2">
                  <c:v>2013-14</c:v>
                </c:pt>
                <c:pt idx="3">
                  <c:v>2014-15</c:v>
                </c:pt>
                <c:pt idx="4">
                  <c:v>2015-16</c:v>
                </c:pt>
              </c:strCache>
            </c:strRef>
          </c:cat>
          <c:val>
            <c:numRef>
              <c:f>Sheet1!$B$2:$B$6</c:f>
              <c:numCache>
                <c:formatCode>#,##0</c:formatCode>
                <c:ptCount val="5"/>
                <c:pt idx="0">
                  <c:v>350</c:v>
                </c:pt>
                <c:pt idx="1">
                  <c:v>374</c:v>
                </c:pt>
                <c:pt idx="2">
                  <c:v>381</c:v>
                </c:pt>
                <c:pt idx="3">
                  <c:v>385</c:v>
                </c:pt>
                <c:pt idx="4">
                  <c:v>372</c:v>
                </c:pt>
              </c:numCache>
            </c:numRef>
          </c:val>
          <c:smooth val="0"/>
          <c:extLst xmlns:c16r2="http://schemas.microsoft.com/office/drawing/2015/06/chart">
            <c:ext xmlns:c16="http://schemas.microsoft.com/office/drawing/2014/chart" uri="{C3380CC4-5D6E-409C-BE32-E72D297353CC}">
              <c16:uniqueId val="{00000005-31FD-41A5-8094-83FF4E84EA5A}"/>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0"/>
              <c:layout>
                <c:manualLayout>
                  <c:x val="-1.2707633657075446E-2"/>
                  <c:y val="-2.32991612301957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FD-41A5-8094-83FF4E84EA5A}"/>
                </c:ext>
                <c:ext xmlns:c15="http://schemas.microsoft.com/office/drawing/2012/chart" uri="{CE6537A1-D6FC-4f65-9D91-7224C49458BB}"/>
              </c:extLst>
            </c:dLbl>
            <c:dLbl>
              <c:idx val="1"/>
              <c:layout>
                <c:manualLayout>
                  <c:x val="-7.261504946900278E-3"/>
                  <c:y val="-1.86393289841565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1FD-41A5-8094-83FF4E84EA5A}"/>
                </c:ext>
                <c:ext xmlns:c15="http://schemas.microsoft.com/office/drawing/2012/chart" uri="{CE6537A1-D6FC-4f65-9D91-7224C49458BB}"/>
              </c:extLst>
            </c:dLbl>
            <c:dLbl>
              <c:idx val="2"/>
              <c:layout>
                <c:manualLayout>
                  <c:x val="-1.2707633657075428E-2"/>
                  <c:y val="-2.79589934762348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1FD-41A5-8094-83FF4E84EA5A}"/>
                </c:ext>
                <c:ext xmlns:c15="http://schemas.microsoft.com/office/drawing/2012/chart" uri="{CE6537A1-D6FC-4f65-9D91-7224C49458BB}"/>
              </c:extLst>
            </c:dLbl>
            <c:dLbl>
              <c:idx val="3"/>
              <c:layout>
                <c:manualLayout>
                  <c:x val="-5.4461287101753167E-3"/>
                  <c:y val="-3.72786579683131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1FD-41A5-8094-83FF4E84EA5A}"/>
                </c:ext>
                <c:ext xmlns:c15="http://schemas.microsoft.com/office/drawing/2012/chart" uri="{CE6537A1-D6FC-4f65-9D91-7224C49458BB}"/>
              </c:extLst>
            </c:dLbl>
            <c:dLbl>
              <c:idx val="4"/>
              <c:layout>
                <c:manualLayout>
                  <c:x val="-3.4492148497776161E-2"/>
                  <c:y val="-4.19384902143523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1FD-41A5-8094-83FF4E84EA5A}"/>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2011-12</c:v>
                </c:pt>
                <c:pt idx="1">
                  <c:v>2012-13</c:v>
                </c:pt>
                <c:pt idx="2">
                  <c:v>2013-14</c:v>
                </c:pt>
                <c:pt idx="3">
                  <c:v>2014-15</c:v>
                </c:pt>
                <c:pt idx="4">
                  <c:v>2015-16</c:v>
                </c:pt>
              </c:strCache>
            </c:strRef>
          </c:cat>
          <c:val>
            <c:numRef>
              <c:f>Sheet1!$C$2:$C$6</c:f>
              <c:numCache>
                <c:formatCode>#,##0</c:formatCode>
                <c:ptCount val="5"/>
                <c:pt idx="0">
                  <c:v>291</c:v>
                </c:pt>
                <c:pt idx="1">
                  <c:v>290</c:v>
                </c:pt>
                <c:pt idx="2">
                  <c:v>260</c:v>
                </c:pt>
                <c:pt idx="3">
                  <c:v>308</c:v>
                </c:pt>
                <c:pt idx="4">
                  <c:v>216</c:v>
                </c:pt>
              </c:numCache>
            </c:numRef>
          </c:val>
          <c:smooth val="0"/>
          <c:extLst xmlns:c16r2="http://schemas.microsoft.com/office/drawing/2015/06/chart">
            <c:ext xmlns:c16="http://schemas.microsoft.com/office/drawing/2014/chart" uri="{C3380CC4-5D6E-409C-BE32-E72D297353CC}">
              <c16:uniqueId val="{0000000B-31FD-41A5-8094-83FF4E84EA5A}"/>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0"/>
              <c:layout>
                <c:manualLayout>
                  <c:x val="-4.3868638231966489E-2"/>
                  <c:y val="-2.79589934762348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1FD-41A5-8094-83FF4E84EA5A}"/>
                </c:ext>
                <c:ext xmlns:c15="http://schemas.microsoft.com/office/drawing/2012/chart" uri="{CE6537A1-D6FC-4f65-9D91-7224C49458BB}"/>
              </c:extLst>
            </c:dLbl>
            <c:dLbl>
              <c:idx val="1"/>
              <c:layout>
                <c:manualLayout>
                  <c:x val="-5.6576271889041914E-2"/>
                  <c:y val="-9.3196644920782844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1FD-41A5-8094-83FF4E84EA5A}"/>
                </c:ext>
                <c:ext xmlns:c15="http://schemas.microsoft.com/office/drawing/2012/chart" uri="{CE6537A1-D6FC-4f65-9D91-7224C49458BB}"/>
              </c:extLst>
            </c:dLbl>
            <c:dLbl>
              <c:idx val="2"/>
              <c:layout>
                <c:manualLayout>
                  <c:x val="-4.9314766942141736E-2"/>
                  <c:y val="-1.86393289841566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1FD-41A5-8094-83FF4E84EA5A}"/>
                </c:ext>
                <c:ext xmlns:c15="http://schemas.microsoft.com/office/drawing/2012/chart" uri="{CE6537A1-D6FC-4f65-9D91-7224C49458BB}"/>
              </c:extLst>
            </c:dLbl>
            <c:dLbl>
              <c:idx val="3"/>
              <c:layout>
                <c:manualLayout>
                  <c:x val="-3.6607133285066241E-2"/>
                  <c:y val="-3.26188257222739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1FD-41A5-8094-83FF4E84EA5A}"/>
                </c:ext>
                <c:ext xmlns:c15="http://schemas.microsoft.com/office/drawing/2012/chart" uri="{CE6537A1-D6FC-4f65-9D91-7224C49458BB}"/>
              </c:extLst>
            </c:dLbl>
            <c:dLbl>
              <c:idx val="4"/>
              <c:layout>
                <c:manualLayout>
                  <c:x val="-2.1149847872902125E-3"/>
                  <c:y val="-1.86393289841565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1FD-41A5-8094-83FF4E84EA5A}"/>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2011-12</c:v>
                </c:pt>
                <c:pt idx="1">
                  <c:v>2012-13</c:v>
                </c:pt>
                <c:pt idx="2">
                  <c:v>2013-14</c:v>
                </c:pt>
                <c:pt idx="3">
                  <c:v>2014-15</c:v>
                </c:pt>
                <c:pt idx="4">
                  <c:v>2015-16</c:v>
                </c:pt>
              </c:strCache>
            </c:strRef>
          </c:cat>
          <c:val>
            <c:numRef>
              <c:f>Sheet1!$D$2:$D$6</c:f>
              <c:numCache>
                <c:formatCode>#,##0</c:formatCode>
                <c:ptCount val="5"/>
                <c:pt idx="0">
                  <c:v>525</c:v>
                </c:pt>
                <c:pt idx="1">
                  <c:v>523</c:v>
                </c:pt>
                <c:pt idx="2">
                  <c:v>489</c:v>
                </c:pt>
                <c:pt idx="3">
                  <c:v>523</c:v>
                </c:pt>
                <c:pt idx="4">
                  <c:v>356</c:v>
                </c:pt>
              </c:numCache>
            </c:numRef>
          </c:val>
          <c:smooth val="0"/>
          <c:extLst xmlns:c16r2="http://schemas.microsoft.com/office/drawing/2015/06/chart">
            <c:ext xmlns:c16="http://schemas.microsoft.com/office/drawing/2014/chart" uri="{C3380CC4-5D6E-409C-BE32-E72D297353CC}">
              <c16:uniqueId val="{00000011-31FD-41A5-8094-83FF4E84EA5A}"/>
            </c:ext>
          </c:extLst>
        </c:ser>
        <c:ser>
          <c:idx val="3"/>
          <c:order val="3"/>
          <c:tx>
            <c:strRef>
              <c:f>Sheet1!$E$1</c:f>
              <c:strCache>
                <c:ptCount val="1"/>
                <c:pt idx="0">
                  <c:v>Total District</c:v>
                </c:pt>
              </c:strCache>
            </c:strRef>
          </c:tx>
          <c:spPr>
            <a:ln w="25400" cap="flat" cmpd="sng" algn="ctr">
              <a:solidFill>
                <a:schemeClr val="tx2">
                  <a:lumMod val="75000"/>
                </a:schemeClr>
              </a:solidFill>
              <a:prstDash val="solid"/>
            </a:ln>
            <a:effectLst/>
          </c:spPr>
          <c:marker>
            <c:spPr>
              <a:noFill/>
              <a:ln w="25400" cap="flat" cmpd="sng" algn="ctr">
                <a:solidFill>
                  <a:schemeClr val="tx2">
                    <a:lumMod val="75000"/>
                  </a:schemeClr>
                </a:solidFill>
                <a:prstDash val="solid"/>
              </a:ln>
              <a:effectLst/>
            </c:spPr>
          </c:marker>
          <c:dLbls>
            <c:dLbl>
              <c:idx val="0"/>
              <c:layout>
                <c:manualLayout>
                  <c:x val="-5.4461287101752005E-3"/>
                  <c:y val="-3.72786579683131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1FD-41A5-8094-83FF4E84EA5A}"/>
                </c:ext>
                <c:ext xmlns:c15="http://schemas.microsoft.com/office/drawing/2012/chart" uri="{CE6537A1-D6FC-4f65-9D91-7224C49458BB}"/>
              </c:extLst>
            </c:dLbl>
            <c:dLbl>
              <c:idx val="1"/>
              <c:layout>
                <c:manualLayout>
                  <c:x val="-3.8122900971226288E-2"/>
                  <c:y val="-4.65983224603914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1FD-41A5-8094-83FF4E84EA5A}"/>
                </c:ext>
                <c:ext xmlns:c15="http://schemas.microsoft.com/office/drawing/2012/chart" uri="{CE6537A1-D6FC-4f65-9D91-7224C49458BB}"/>
              </c:extLst>
            </c:dLbl>
            <c:dLbl>
              <c:idx val="2"/>
              <c:layout>
                <c:manualLayout>
                  <c:x val="-1.6338386130525552E-2"/>
                  <c:y val="-2.79589934762348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1FD-41A5-8094-83FF4E84EA5A}"/>
                </c:ext>
                <c:ext xmlns:c15="http://schemas.microsoft.com/office/drawing/2012/chart" uri="{CE6537A1-D6FC-4f65-9D91-7224C49458BB}"/>
              </c:extLst>
            </c:dLbl>
            <c:dLbl>
              <c:idx val="3"/>
              <c:layout>
                <c:manualLayout>
                  <c:x val="-7.2615049469003119E-3"/>
                  <c:y val="-1.86393289841565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1FD-41A5-8094-83FF4E84EA5A}"/>
                </c:ext>
                <c:ext xmlns:c15="http://schemas.microsoft.com/office/drawing/2012/chart" uri="{CE6537A1-D6FC-4f65-9D91-7224C49458BB}"/>
              </c:extLst>
            </c:dLbl>
            <c:dLbl>
              <c:idx val="4"/>
              <c:layout>
                <c:manualLayout>
                  <c:x val="-3.086139602432604E-2"/>
                  <c:y val="-5.1258154706430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1FD-41A5-8094-83FF4E84EA5A}"/>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2011-12</c:v>
                </c:pt>
                <c:pt idx="1">
                  <c:v>2012-13</c:v>
                </c:pt>
                <c:pt idx="2">
                  <c:v>2013-14</c:v>
                </c:pt>
                <c:pt idx="3">
                  <c:v>2014-15</c:v>
                </c:pt>
                <c:pt idx="4">
                  <c:v>2015-16</c:v>
                </c:pt>
              </c:strCache>
            </c:strRef>
          </c:cat>
          <c:val>
            <c:numRef>
              <c:f>Sheet1!$E$2:$E$6</c:f>
              <c:numCache>
                <c:formatCode>#,##0</c:formatCode>
                <c:ptCount val="5"/>
                <c:pt idx="0">
                  <c:v>1166</c:v>
                </c:pt>
                <c:pt idx="1">
                  <c:v>1187</c:v>
                </c:pt>
                <c:pt idx="2">
                  <c:v>1130</c:v>
                </c:pt>
                <c:pt idx="3">
                  <c:v>1216</c:v>
                </c:pt>
                <c:pt idx="4">
                  <c:v>944</c:v>
                </c:pt>
              </c:numCache>
            </c:numRef>
          </c:val>
          <c:smooth val="0"/>
          <c:extLst xmlns:c16r2="http://schemas.microsoft.com/office/drawing/2015/06/chart">
            <c:ext xmlns:c16="http://schemas.microsoft.com/office/drawing/2014/chart" uri="{C3380CC4-5D6E-409C-BE32-E72D297353CC}">
              <c16:uniqueId val="{00000017-31FD-41A5-8094-83FF4E84EA5A}"/>
            </c:ext>
          </c:extLst>
        </c:ser>
        <c:dLbls>
          <c:dLblPos val="r"/>
          <c:showLegendKey val="0"/>
          <c:showVal val="1"/>
          <c:showCatName val="0"/>
          <c:showSerName val="0"/>
          <c:showPercent val="0"/>
          <c:showBubbleSize val="0"/>
        </c:dLbls>
        <c:marker val="1"/>
        <c:smooth val="0"/>
        <c:axId val="239597400"/>
        <c:axId val="239597792"/>
      </c:lineChart>
      <c:catAx>
        <c:axId val="239597400"/>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9597792"/>
        <c:crosses val="autoZero"/>
        <c:auto val="1"/>
        <c:lblAlgn val="ctr"/>
        <c:lblOffset val="100"/>
        <c:noMultiLvlLbl val="0"/>
      </c:catAx>
      <c:valAx>
        <c:axId val="239597792"/>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9597400"/>
        <c:crosses val="autoZero"/>
        <c:crossBetween val="between"/>
      </c:valAx>
    </c:plotArea>
    <c:legend>
      <c:legendPos val="r"/>
      <c:layout>
        <c:manualLayout>
          <c:xMode val="edge"/>
          <c:yMode val="edge"/>
          <c:x val="0.8446934243634836"/>
          <c:y val="0.29077792856950901"/>
          <c:w val="0.15384441653879224"/>
          <c:h val="0.33705337159043375"/>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Calibri" pitchFamily="34" charset="0"/>
                <a:ea typeface="+mn-ea"/>
                <a:cs typeface="+mn-cs"/>
              </a:defRPr>
            </a:pPr>
            <a:r>
              <a:rPr lang="en-US">
                <a:latin typeface="Calibri" pitchFamily="34" charset="0"/>
              </a:rPr>
              <a:t>Student Right-to-Know Completion Rates</a:t>
            </a:r>
          </a:p>
        </c:rich>
      </c:tx>
      <c:layout>
        <c:manualLayout>
          <c:xMode val="edge"/>
          <c:yMode val="edge"/>
          <c:x val="0.32983516483516484"/>
          <c:y val="0"/>
        </c:manualLayout>
      </c:layout>
      <c:overlay val="1"/>
    </c:title>
    <c:autoTitleDeleted val="0"/>
    <c:plotArea>
      <c:layout>
        <c:manualLayout>
          <c:layoutTarget val="inner"/>
          <c:xMode val="edge"/>
          <c:yMode val="edge"/>
          <c:x val="5.1870874631237136E-2"/>
          <c:y val="0.12065291226039318"/>
          <c:w val="0.75097516702810141"/>
          <c:h val="0.69900238350757471"/>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dLbl>
              <c:idx val="2"/>
              <c:layout>
                <c:manualLayout>
                  <c:x val="-5.1984911083168675E-2"/>
                  <c:y val="-4.08371618172537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0D-40A4-95C8-A819820BDFED}"/>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lumMod val="60000"/>
                        <a:lumOff val="40000"/>
                      </a:schemeClr>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Sheet1!$B$2:$B$6</c:f>
              <c:numCache>
                <c:formatCode>0%</c:formatCode>
                <c:ptCount val="5"/>
                <c:pt idx="0">
                  <c:v>0.28699999999999998</c:v>
                </c:pt>
                <c:pt idx="1">
                  <c:v>0.16400000000000001</c:v>
                </c:pt>
                <c:pt idx="2">
                  <c:v>0.1646</c:v>
                </c:pt>
                <c:pt idx="3">
                  <c:v>0.26200000000000001</c:v>
                </c:pt>
                <c:pt idx="4">
                  <c:v>0.25290000000000001</c:v>
                </c:pt>
              </c:numCache>
            </c:numRef>
          </c:val>
          <c:smooth val="0"/>
          <c:extLst xmlns:c16r2="http://schemas.microsoft.com/office/drawing/2015/06/chart">
            <c:ext xmlns:c16="http://schemas.microsoft.com/office/drawing/2014/chart" uri="{C3380CC4-5D6E-409C-BE32-E72D297353CC}">
              <c16:uniqueId val="{00000001-1E0D-40A4-95C8-A819820BDFED}"/>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0"/>
              <c:layout>
                <c:manualLayout>
                  <c:x val="-1.4370396982216651E-2"/>
                  <c:y val="-4.083716181725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0D-40A4-95C8-A819820BDFED}"/>
                </c:ext>
                <c:ext xmlns:c15="http://schemas.microsoft.com/office/drawing/2012/chart" uri="{CE6537A1-D6FC-4f65-9D91-7224C49458BB}"/>
              </c:extLst>
            </c:dLbl>
            <c:dLbl>
              <c:idx val="1"/>
              <c:layout>
                <c:manualLayout>
                  <c:x val="-7.1851984911083166E-3"/>
                  <c:y val="-3.06278713629402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0D-40A4-95C8-A819820BDFED}"/>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Sheet1!$C$2:$C$6</c:f>
              <c:numCache>
                <c:formatCode>0%</c:formatCode>
                <c:ptCount val="5"/>
                <c:pt idx="0">
                  <c:v>0.28799999999999998</c:v>
                </c:pt>
                <c:pt idx="1">
                  <c:v>0.3</c:v>
                </c:pt>
                <c:pt idx="2">
                  <c:v>0.35499999999999998</c:v>
                </c:pt>
                <c:pt idx="3">
                  <c:v>0.36199999999999999</c:v>
                </c:pt>
                <c:pt idx="4">
                  <c:v>0.36699999999999999</c:v>
                </c:pt>
              </c:numCache>
            </c:numRef>
          </c:val>
          <c:smooth val="0"/>
          <c:extLst xmlns:c16r2="http://schemas.microsoft.com/office/drawing/2015/06/chart">
            <c:ext xmlns:c16="http://schemas.microsoft.com/office/drawing/2014/chart" uri="{C3380CC4-5D6E-409C-BE32-E72D297353CC}">
              <c16:uniqueId val="{00000004-1E0D-40A4-95C8-A819820BDFED}"/>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0"/>
              <c:layout>
                <c:manualLayout>
                  <c:x val="-3.2333393209987439E-2"/>
                  <c:y val="-5.1046452271567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0D-40A4-95C8-A819820BDFED}"/>
                </c:ext>
                <c:ext xmlns:c15="http://schemas.microsoft.com/office/drawing/2012/chart" uri="{CE6537A1-D6FC-4f65-9D91-7224C49458BB}"/>
              </c:extLst>
            </c:dLbl>
            <c:dLbl>
              <c:idx val="1"/>
              <c:layout>
                <c:manualLayout>
                  <c:x val="-4.3111190946649898E-2"/>
                  <c:y val="-3.06278713629402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E0D-40A4-95C8-A819820BDFED}"/>
                </c:ext>
                <c:ext xmlns:c15="http://schemas.microsoft.com/office/drawing/2012/chart" uri="{CE6537A1-D6FC-4f65-9D91-7224C49458BB}"/>
              </c:extLst>
            </c:dLbl>
            <c:dLbl>
              <c:idx val="2"/>
              <c:layout>
                <c:manualLayout>
                  <c:x val="-4.6703790192204123E-2"/>
                  <c:y val="-2.0418580908626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E0D-40A4-95C8-A819820BDFED}"/>
                </c:ext>
                <c:ext xmlns:c15="http://schemas.microsoft.com/office/drawing/2012/chart" uri="{CE6537A1-D6FC-4f65-9D91-7224C49458BB}"/>
              </c:extLst>
            </c:dLbl>
            <c:dLbl>
              <c:idx val="3"/>
              <c:layout>
                <c:manualLayout>
                  <c:x val="-1.2574097359439554E-2"/>
                  <c:y val="-4.083716181725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E0D-40A4-95C8-A819820BDFED}"/>
                </c:ext>
                <c:ext xmlns:c15="http://schemas.microsoft.com/office/drawing/2012/chart" uri="{CE6537A1-D6FC-4f65-9D91-7224C49458BB}"/>
              </c:extLst>
            </c:dLbl>
            <c:dLbl>
              <c:idx val="4"/>
              <c:layout>
                <c:manualLayout>
                  <c:x val="-3.2333393209987425E-2"/>
                  <c:y val="-5.1046452271567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E0D-40A4-95C8-A819820BDFED}"/>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Sheet1!$D$2:$D$6</c:f>
              <c:numCache>
                <c:formatCode>0%</c:formatCode>
                <c:ptCount val="5"/>
                <c:pt idx="0">
                  <c:v>0.38</c:v>
                </c:pt>
                <c:pt idx="1">
                  <c:v>0.371</c:v>
                </c:pt>
                <c:pt idx="2">
                  <c:v>0.38879999999999998</c:v>
                </c:pt>
                <c:pt idx="3">
                  <c:v>0.41699999999999998</c:v>
                </c:pt>
                <c:pt idx="4">
                  <c:v>0.39290000000000003</c:v>
                </c:pt>
              </c:numCache>
            </c:numRef>
          </c:val>
          <c:smooth val="0"/>
          <c:extLst xmlns:c16r2="http://schemas.microsoft.com/office/drawing/2015/06/chart">
            <c:ext xmlns:c16="http://schemas.microsoft.com/office/drawing/2014/chart" uri="{C3380CC4-5D6E-409C-BE32-E72D297353CC}">
              <c16:uniqueId val="{0000000A-1E0D-40A4-95C8-A819820BDFED}"/>
            </c:ext>
          </c:extLst>
        </c:ser>
        <c:ser>
          <c:idx val="3"/>
          <c:order val="3"/>
          <c:tx>
            <c:strRef>
              <c:f>Sheet1!$E$1</c:f>
              <c:strCache>
                <c:ptCount val="1"/>
                <c:pt idx="0">
                  <c:v>Statewide</c:v>
                </c:pt>
              </c:strCache>
            </c:strRef>
          </c:tx>
          <c:spPr>
            <a:ln w="25400" cap="flat" cmpd="sng" algn="ctr">
              <a:solidFill>
                <a:schemeClr val="tx2"/>
              </a:solidFill>
              <a:prstDash val="solid"/>
            </a:ln>
            <a:effectLst/>
          </c:spPr>
          <c:marker>
            <c:symbol val="x"/>
            <c:size val="7"/>
            <c:spPr>
              <a:noFill/>
              <a:ln w="25400" cap="flat" cmpd="sng" algn="ctr">
                <a:solidFill>
                  <a:schemeClr val="tx2"/>
                </a:solidFill>
                <a:prstDash val="solid"/>
              </a:ln>
              <a:effectLst/>
            </c:spPr>
          </c:marker>
          <c:dLbls>
            <c:dLbl>
              <c:idx val="1"/>
              <c:layout>
                <c:manualLayout>
                  <c:x val="-2.6836716364289564E-2"/>
                  <c:y val="4.083716181725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E0D-40A4-95C8-A819820BDFED}"/>
                </c:ext>
                <c:ext xmlns:c15="http://schemas.microsoft.com/office/drawing/2012/chart" uri="{CE6537A1-D6FC-4f65-9D91-7224C49458BB}"/>
              </c:extLst>
            </c:dLbl>
            <c:dLbl>
              <c:idx val="2"/>
              <c:layout>
                <c:manualLayout>
                  <c:x val="-2.1447817495958393E-2"/>
                  <c:y val="4.59418070444104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E0D-40A4-95C8-A819820BDFED}"/>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Sheet1!$E$2:$E$6</c:f>
              <c:numCache>
                <c:formatCode>0%</c:formatCode>
                <c:ptCount val="5"/>
                <c:pt idx="0">
                  <c:v>0.251</c:v>
                </c:pt>
                <c:pt idx="1">
                  <c:v>0.26300000000000001</c:v>
                </c:pt>
                <c:pt idx="2">
                  <c:v>0.27979999999999999</c:v>
                </c:pt>
                <c:pt idx="3">
                  <c:v>0.29399999999999998</c:v>
                </c:pt>
                <c:pt idx="4">
                  <c:v>0.29299999999999998</c:v>
                </c:pt>
              </c:numCache>
            </c:numRef>
          </c:val>
          <c:smooth val="0"/>
          <c:extLst xmlns:c16r2="http://schemas.microsoft.com/office/drawing/2015/06/chart">
            <c:ext xmlns:c16="http://schemas.microsoft.com/office/drawing/2014/chart" uri="{C3380CC4-5D6E-409C-BE32-E72D297353CC}">
              <c16:uniqueId val="{0000000D-1E0D-40A4-95C8-A819820BDFED}"/>
            </c:ext>
          </c:extLst>
        </c:ser>
        <c:dLbls>
          <c:dLblPos val="r"/>
          <c:showLegendKey val="0"/>
          <c:showVal val="1"/>
          <c:showCatName val="0"/>
          <c:showSerName val="0"/>
          <c:showPercent val="0"/>
          <c:showBubbleSize val="0"/>
        </c:dLbls>
        <c:marker val="1"/>
        <c:smooth val="0"/>
        <c:axId val="239598576"/>
        <c:axId val="239598968"/>
      </c:lineChart>
      <c:catAx>
        <c:axId val="239598576"/>
        <c:scaling>
          <c:orientation val="minMax"/>
        </c:scaling>
        <c:delete val="0"/>
        <c:axPos val="b"/>
        <c:title>
          <c:tx>
            <c:rich>
              <a:bodyPr/>
              <a:lstStyle/>
              <a:p>
                <a:pPr>
                  <a:defRPr/>
                </a:pPr>
                <a:r>
                  <a:rPr lang="en-US" b="0"/>
                  <a:t>Cohort</a:t>
                </a:r>
              </a:p>
            </c:rich>
          </c:tx>
          <c:overlay val="0"/>
        </c:title>
        <c:numFmt formatCode="General" sourceLinked="1"/>
        <c:majorTickMark val="out"/>
        <c:minorTickMark val="none"/>
        <c:tickLblPos val="nextTo"/>
        <c:txPr>
          <a:bodyPr/>
          <a:lstStyle/>
          <a:p>
            <a:pPr>
              <a:defRPr>
                <a:latin typeface="Calibri" pitchFamily="34" charset="0"/>
              </a:defRPr>
            </a:pPr>
            <a:endParaRPr lang="en-US"/>
          </a:p>
        </c:txPr>
        <c:crossAx val="239598968"/>
        <c:crosses val="autoZero"/>
        <c:auto val="1"/>
        <c:lblAlgn val="ctr"/>
        <c:lblOffset val="100"/>
        <c:noMultiLvlLbl val="0"/>
      </c:catAx>
      <c:valAx>
        <c:axId val="239598968"/>
        <c:scaling>
          <c:orientation val="minMax"/>
          <c:min val="0.1"/>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9598576"/>
        <c:crosses val="autoZero"/>
        <c:crossBetween val="between"/>
      </c:valAx>
    </c:plotArea>
    <c:legend>
      <c:legendPos val="r"/>
      <c:layout>
        <c:manualLayout>
          <c:xMode val="edge"/>
          <c:yMode val="edge"/>
          <c:x val="0.83296448474624407"/>
          <c:y val="0.23462436644117801"/>
          <c:w val="0.16481402641267651"/>
          <c:h val="0.46151796329447775"/>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sz="1100" b="1">
                <a:effectLst/>
                <a:latin typeface="Calibri" pitchFamily="34" charset="0"/>
              </a:rPr>
              <a:t>Student Right-to-Know</a:t>
            </a:r>
            <a:r>
              <a:rPr lang="en-US" sz="1100" b="1" baseline="0">
                <a:effectLst/>
                <a:latin typeface="Calibri" pitchFamily="34" charset="0"/>
              </a:rPr>
              <a:t> Transfer</a:t>
            </a:r>
            <a:r>
              <a:rPr lang="en-US" sz="1100" b="1">
                <a:effectLst/>
                <a:latin typeface="Calibri" pitchFamily="34" charset="0"/>
              </a:rPr>
              <a:t> Rates</a:t>
            </a:r>
            <a:endParaRPr lang="en-US" sz="1100">
              <a:effectLst/>
              <a:latin typeface="Calibri" pitchFamily="34" charset="0"/>
            </a:endParaRPr>
          </a:p>
        </c:rich>
      </c:tx>
      <c:layout>
        <c:manualLayout>
          <c:xMode val="edge"/>
          <c:yMode val="edge"/>
          <c:x val="0.33585157624527701"/>
          <c:y val="0"/>
        </c:manualLayout>
      </c:layout>
      <c:overlay val="1"/>
    </c:title>
    <c:autoTitleDeleted val="0"/>
    <c:plotArea>
      <c:layout>
        <c:manualLayout>
          <c:layoutTarget val="inner"/>
          <c:xMode val="edge"/>
          <c:yMode val="edge"/>
          <c:x val="5.1870874631237136E-2"/>
          <c:y val="7.7808479461539695E-2"/>
          <c:w val="0.75223657805468447"/>
          <c:h val="0.71732056748720363"/>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dLbl>
              <c:idx val="4"/>
              <c:layout>
                <c:manualLayout>
                  <c:x val="-2.6415094339622643E-3"/>
                  <c:y val="3.909278782012713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21-4B18-98B5-9BFBBF395479}"/>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lumMod val="60000"/>
                        <a:lumOff val="40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Sheet1!$B$2:$B$6</c:f>
              <c:numCache>
                <c:formatCode>0%</c:formatCode>
                <c:ptCount val="5"/>
                <c:pt idx="0">
                  <c:v>0.126</c:v>
                </c:pt>
                <c:pt idx="1">
                  <c:v>0.16400000000000001</c:v>
                </c:pt>
                <c:pt idx="2">
                  <c:v>0.20730000000000001</c:v>
                </c:pt>
                <c:pt idx="3">
                  <c:v>0.11899999999999999</c:v>
                </c:pt>
                <c:pt idx="4">
                  <c:v>0.12939999999999999</c:v>
                </c:pt>
              </c:numCache>
            </c:numRef>
          </c:val>
          <c:smooth val="0"/>
          <c:extLst xmlns:c16r2="http://schemas.microsoft.com/office/drawing/2015/06/chart">
            <c:ext xmlns:c16="http://schemas.microsoft.com/office/drawing/2014/chart" uri="{C3380CC4-5D6E-409C-BE32-E72D297353CC}">
              <c16:uniqueId val="{00000001-D221-4B18-98B5-9BFBBF395479}"/>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4"/>
              <c:layout>
                <c:manualLayout>
                  <c:x val="-5.3908355795148251E-3"/>
                  <c:y val="-1.32890365448504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E5-4FD2-BB59-53F2C0B69289}"/>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Sheet1!$C$2:$C$6</c:f>
              <c:numCache>
                <c:formatCode>0%</c:formatCode>
                <c:ptCount val="5"/>
                <c:pt idx="0">
                  <c:v>0.14099999999999999</c:v>
                </c:pt>
                <c:pt idx="1">
                  <c:v>0.14000000000000001</c:v>
                </c:pt>
                <c:pt idx="2">
                  <c:v>0.14169999999999999</c:v>
                </c:pt>
                <c:pt idx="3">
                  <c:v>0.13700000000000001</c:v>
                </c:pt>
                <c:pt idx="4">
                  <c:v>0.1371</c:v>
                </c:pt>
              </c:numCache>
            </c:numRef>
          </c:val>
          <c:smooth val="0"/>
          <c:extLst xmlns:c16r2="http://schemas.microsoft.com/office/drawing/2015/06/chart">
            <c:ext xmlns:c16="http://schemas.microsoft.com/office/drawing/2014/chart" uri="{C3380CC4-5D6E-409C-BE32-E72D297353CC}">
              <c16:uniqueId val="{00000002-D221-4B18-98B5-9BFBBF395479}"/>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Sheet1!$D$2:$D$6</c:f>
              <c:numCache>
                <c:formatCode>0%</c:formatCode>
                <c:ptCount val="5"/>
                <c:pt idx="0">
                  <c:v>0.17</c:v>
                </c:pt>
                <c:pt idx="1">
                  <c:v>0.161</c:v>
                </c:pt>
                <c:pt idx="2">
                  <c:v>0.15670000000000001</c:v>
                </c:pt>
                <c:pt idx="3">
                  <c:v>0.126</c:v>
                </c:pt>
                <c:pt idx="4">
                  <c:v>0.14280000000000001</c:v>
                </c:pt>
              </c:numCache>
            </c:numRef>
          </c:val>
          <c:smooth val="0"/>
          <c:extLst xmlns:c16r2="http://schemas.microsoft.com/office/drawing/2015/06/chart">
            <c:ext xmlns:c16="http://schemas.microsoft.com/office/drawing/2014/chart" uri="{C3380CC4-5D6E-409C-BE32-E72D297353CC}">
              <c16:uniqueId val="{00000003-D221-4B18-98B5-9BFBBF395479}"/>
            </c:ext>
          </c:extLst>
        </c:ser>
        <c:ser>
          <c:idx val="3"/>
          <c:order val="3"/>
          <c:tx>
            <c:strRef>
              <c:f>Sheet1!$E$1</c:f>
              <c:strCache>
                <c:ptCount val="1"/>
                <c:pt idx="0">
                  <c:v>Statewide</c:v>
                </c:pt>
              </c:strCache>
            </c:strRef>
          </c:tx>
          <c:spPr>
            <a:ln w="25400" cap="flat" cmpd="sng" algn="ctr">
              <a:solidFill>
                <a:schemeClr val="tx2"/>
              </a:solidFill>
              <a:prstDash val="solid"/>
            </a:ln>
            <a:effectLst/>
          </c:spPr>
          <c:marker>
            <c:spPr>
              <a:noFill/>
              <a:ln w="25400" cap="flat" cmpd="sng" algn="ctr">
                <a:solidFill>
                  <a:schemeClr val="tx2"/>
                </a:solidFill>
                <a:prstDash val="solid"/>
              </a:ln>
              <a:effectLst/>
            </c:spPr>
          </c:marker>
          <c:dLbls>
            <c:dLbl>
              <c:idx val="4"/>
              <c:layout>
                <c:manualLayout>
                  <c:x val="-4.661275831087152E-2"/>
                  <c:y val="3.98671096345514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21-4B18-98B5-9BFBBF395479}"/>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2009</c:v>
                </c:pt>
                <c:pt idx="1">
                  <c:v>Fall  2010</c:v>
                </c:pt>
                <c:pt idx="2">
                  <c:v>Fall  2011</c:v>
                </c:pt>
                <c:pt idx="3">
                  <c:v>Fall 2012</c:v>
                </c:pt>
                <c:pt idx="4">
                  <c:v>Fall 2013</c:v>
                </c:pt>
              </c:strCache>
            </c:strRef>
          </c:cat>
          <c:val>
            <c:numRef>
              <c:f>Sheet1!$E$2:$E$6</c:f>
              <c:numCache>
                <c:formatCode>0%</c:formatCode>
                <c:ptCount val="5"/>
                <c:pt idx="0">
                  <c:v>0.14399999999999999</c:v>
                </c:pt>
                <c:pt idx="1">
                  <c:v>0.13600000000000001</c:v>
                </c:pt>
                <c:pt idx="2">
                  <c:v>0.12089999999999999</c:v>
                </c:pt>
                <c:pt idx="3">
                  <c:v>0.109</c:v>
                </c:pt>
                <c:pt idx="4">
                  <c:v>0.1032</c:v>
                </c:pt>
              </c:numCache>
            </c:numRef>
          </c:val>
          <c:smooth val="0"/>
          <c:extLst xmlns:c16r2="http://schemas.microsoft.com/office/drawing/2015/06/chart">
            <c:ext xmlns:c16="http://schemas.microsoft.com/office/drawing/2014/chart" uri="{C3380CC4-5D6E-409C-BE32-E72D297353CC}">
              <c16:uniqueId val="{00000005-D221-4B18-98B5-9BFBBF395479}"/>
            </c:ext>
          </c:extLst>
        </c:ser>
        <c:dLbls>
          <c:dLblPos val="r"/>
          <c:showLegendKey val="0"/>
          <c:showVal val="1"/>
          <c:showCatName val="0"/>
          <c:showSerName val="0"/>
          <c:showPercent val="0"/>
          <c:showBubbleSize val="0"/>
        </c:dLbls>
        <c:marker val="1"/>
        <c:smooth val="0"/>
        <c:axId val="239599752"/>
        <c:axId val="239944392"/>
      </c:lineChart>
      <c:catAx>
        <c:axId val="239599752"/>
        <c:scaling>
          <c:orientation val="minMax"/>
        </c:scaling>
        <c:delete val="0"/>
        <c:axPos val="b"/>
        <c:title>
          <c:tx>
            <c:rich>
              <a:bodyPr/>
              <a:lstStyle/>
              <a:p>
                <a:pPr>
                  <a:defRPr/>
                </a:pPr>
                <a:r>
                  <a:rPr lang="en-US" sz="1200" b="0" i="0" baseline="0">
                    <a:effectLst/>
                  </a:rPr>
                  <a:t>Cohort</a:t>
                </a:r>
                <a:endParaRPr lang="en-US" sz="700">
                  <a:effectLst/>
                </a:endParaRPr>
              </a:p>
            </c:rich>
          </c:tx>
          <c:overlay val="0"/>
        </c:title>
        <c:numFmt formatCode="General" sourceLinked="1"/>
        <c:majorTickMark val="out"/>
        <c:minorTickMark val="none"/>
        <c:tickLblPos val="nextTo"/>
        <c:txPr>
          <a:bodyPr/>
          <a:lstStyle/>
          <a:p>
            <a:pPr>
              <a:defRPr>
                <a:latin typeface="Calibri" pitchFamily="34" charset="0"/>
              </a:defRPr>
            </a:pPr>
            <a:endParaRPr lang="en-US"/>
          </a:p>
        </c:txPr>
        <c:crossAx val="239944392"/>
        <c:crosses val="autoZero"/>
        <c:auto val="1"/>
        <c:lblAlgn val="ctr"/>
        <c:lblOffset val="100"/>
        <c:noMultiLvlLbl val="0"/>
      </c:catAx>
      <c:valAx>
        <c:axId val="239944392"/>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9599752"/>
        <c:crosses val="autoZero"/>
        <c:crossBetween val="between"/>
      </c:valAx>
    </c:plotArea>
    <c:legend>
      <c:legendPos val="r"/>
      <c:layout>
        <c:manualLayout>
          <c:xMode val="edge"/>
          <c:yMode val="edge"/>
          <c:x val="0.83824628254343214"/>
          <c:y val="0.29076541542567513"/>
          <c:w val="0.16001680796396298"/>
          <c:h val="0.33187466224223749"/>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50"/>
            </a:pPr>
            <a:r>
              <a:rPr lang="en-US" sz="1050"/>
              <a:t>Annual CA Resident FTES</a:t>
            </a:r>
          </a:p>
        </c:rich>
      </c:tx>
      <c:layout>
        <c:manualLayout>
          <c:xMode val="edge"/>
          <c:yMode val="edge"/>
          <c:x val="0.37792021511177337"/>
          <c:y val="0"/>
        </c:manualLayout>
      </c:layout>
      <c:overlay val="1"/>
    </c:title>
    <c:autoTitleDeleted val="0"/>
    <c:plotArea>
      <c:layout>
        <c:manualLayout>
          <c:layoutTarget val="inner"/>
          <c:xMode val="edge"/>
          <c:yMode val="edge"/>
          <c:x val="0.10625496853676324"/>
          <c:y val="0.11052827211627449"/>
          <c:w val="0.69690976637708213"/>
          <c:h val="0.6938977382804179"/>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spPr>
              <a:solidFill>
                <a:sysClr val="window" lastClr="FFFFFF">
                  <a:alpha val="60000"/>
                </a:sysClr>
              </a:solidFill>
            </c:spPr>
            <c:txPr>
              <a:bodyPr/>
              <a:lstStyle/>
              <a:p>
                <a:pPr>
                  <a:defRPr sz="800" b="1">
                    <a:solidFill>
                      <a:schemeClr val="accent1"/>
                    </a:solidFill>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Sheet1!$B$2:$B$6</c:f>
              <c:numCache>
                <c:formatCode>#,##0</c:formatCode>
                <c:ptCount val="5"/>
                <c:pt idx="0">
                  <c:v>5370.8</c:v>
                </c:pt>
                <c:pt idx="1">
                  <c:v>6063.6</c:v>
                </c:pt>
                <c:pt idx="2">
                  <c:v>5738</c:v>
                </c:pt>
                <c:pt idx="3">
                  <c:v>6343.34</c:v>
                </c:pt>
                <c:pt idx="4">
                  <c:v>5929.26</c:v>
                </c:pt>
              </c:numCache>
            </c:numRef>
          </c:val>
          <c:smooth val="0"/>
          <c:extLst xmlns:c16r2="http://schemas.microsoft.com/office/drawing/2015/06/chart">
            <c:ext xmlns:c16="http://schemas.microsoft.com/office/drawing/2014/chart" uri="{C3380CC4-5D6E-409C-BE32-E72D297353CC}">
              <c16:uniqueId val="{00000000-6C46-4216-A5BF-32A17B282F08}"/>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0"/>
              <c:layout>
                <c:manualLayout>
                  <c:x val="-3.2626427406199018E-2"/>
                  <c:y val="-4.59418070444104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46-4216-A5BF-32A17B282F08}"/>
                </c:ext>
                <c:ext xmlns:c15="http://schemas.microsoft.com/office/drawing/2012/chart" uri="{CE6537A1-D6FC-4f65-9D91-7224C49458BB}"/>
              </c:extLst>
            </c:dLbl>
            <c:dLbl>
              <c:idx val="1"/>
              <c:layout>
                <c:manualLayout>
                  <c:x val="-3.4439006706543443E-2"/>
                  <c:y val="-3.57325165900970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46-4216-A5BF-32A17B282F08}"/>
                </c:ext>
                <c:ext xmlns:c15="http://schemas.microsoft.com/office/drawing/2012/chart" uri="{CE6537A1-D6FC-4f65-9D91-7224C49458BB}"/>
              </c:extLst>
            </c:dLbl>
            <c:dLbl>
              <c:idx val="2"/>
              <c:layout>
                <c:manualLayout>
                  <c:x val="-3.8064165307232257E-2"/>
                  <c:y val="-4.083716181725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46-4216-A5BF-32A17B282F08}"/>
                </c:ext>
                <c:ext xmlns:c15="http://schemas.microsoft.com/office/drawing/2012/chart" uri="{CE6537A1-D6FC-4f65-9D91-7224C49458BB}"/>
              </c:extLst>
            </c:dLbl>
            <c:dLbl>
              <c:idx val="3"/>
              <c:layout>
                <c:manualLayout>
                  <c:x val="-4.5314482508609755E-2"/>
                  <c:y val="-4.59418070444104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C46-4216-A5BF-32A17B282F08}"/>
                </c:ext>
                <c:ext xmlns:c15="http://schemas.microsoft.com/office/drawing/2012/chart" uri="{CE6537A1-D6FC-4f65-9D91-7224C49458BB}"/>
              </c:extLst>
            </c:dLbl>
            <c:dLbl>
              <c:idx val="4"/>
              <c:layout>
                <c:manualLayout>
                  <c:x val="-4.1689323907921107E-2"/>
                  <c:y val="-4.59418070444104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C46-4216-A5BF-32A17B282F08}"/>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Sheet1!$C$2:$C$6</c:f>
              <c:numCache>
                <c:formatCode>#,##0</c:formatCode>
                <c:ptCount val="5"/>
                <c:pt idx="0">
                  <c:v>9229.65</c:v>
                </c:pt>
                <c:pt idx="1">
                  <c:v>10000.799999999999</c:v>
                </c:pt>
                <c:pt idx="2">
                  <c:v>9377</c:v>
                </c:pt>
                <c:pt idx="3">
                  <c:v>9536.15</c:v>
                </c:pt>
                <c:pt idx="4">
                  <c:v>8609.8799999999992</c:v>
                </c:pt>
              </c:numCache>
            </c:numRef>
          </c:val>
          <c:smooth val="0"/>
          <c:extLst xmlns:c16r2="http://schemas.microsoft.com/office/drawing/2015/06/chart">
            <c:ext xmlns:c16="http://schemas.microsoft.com/office/drawing/2014/chart" uri="{C3380CC4-5D6E-409C-BE32-E72D297353CC}">
              <c16:uniqueId val="{00000006-6C46-4216-A5BF-32A17B282F08}"/>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0"/>
              <c:layout>
                <c:manualLayout>
                  <c:x val="-3.6867862969004878E-2"/>
                  <c:y val="-5.10464522715672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C46-4216-A5BF-32A17B282F08}"/>
                </c:ext>
                <c:ext xmlns:c15="http://schemas.microsoft.com/office/drawing/2012/chart" uri="{CE6537A1-D6FC-4f65-9D91-7224C49458BB}"/>
              </c:extLst>
            </c:dLbl>
            <c:dLbl>
              <c:idx val="1"/>
              <c:layout>
                <c:manualLayout>
                  <c:x val="-4.2305600870038096E-2"/>
                  <c:y val="-4.0837161817253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C46-4216-A5BF-32A17B282F08}"/>
                </c:ext>
                <c:ext xmlns:c15="http://schemas.microsoft.com/office/drawing/2012/chart" uri="{CE6537A1-D6FC-4f65-9D91-7224C49458BB}"/>
              </c:extLst>
            </c:dLbl>
            <c:dLbl>
              <c:idx val="2"/>
              <c:layout>
                <c:manualLayout>
                  <c:x val="-4.7743338771071231E-2"/>
                  <c:y val="-3.57325165900970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C46-4216-A5BF-32A17B282F08}"/>
                </c:ext>
                <c:ext xmlns:c15="http://schemas.microsoft.com/office/drawing/2012/chart" uri="{CE6537A1-D6FC-4f65-9D91-7224C49458BB}"/>
              </c:extLst>
            </c:dLbl>
            <c:dLbl>
              <c:idx val="3"/>
              <c:layout>
                <c:manualLayout>
                  <c:x val="-3.8680442269349281E-2"/>
                  <c:y val="-5.1046452271567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C46-4216-A5BF-32A17B282F08}"/>
                </c:ext>
                <c:ext xmlns:c15="http://schemas.microsoft.com/office/drawing/2012/chart" uri="{CE6537A1-D6FC-4f65-9D91-7224C49458BB}"/>
              </c:extLst>
            </c:dLbl>
            <c:dLbl>
              <c:idx val="4"/>
              <c:layout>
                <c:manualLayout>
                  <c:x val="-3.6867862969004891E-2"/>
                  <c:y val="-5.61510974987238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C46-4216-A5BF-32A17B282F08}"/>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6">
                        <a:lumMod val="75000"/>
                      </a:schemeClr>
                    </a:solidFill>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Sheet1!$D$2:$D$6</c:f>
              <c:numCache>
                <c:formatCode>#,##0</c:formatCode>
                <c:ptCount val="5"/>
                <c:pt idx="0">
                  <c:v>15502.46</c:v>
                </c:pt>
                <c:pt idx="1">
                  <c:v>16558.04</c:v>
                </c:pt>
                <c:pt idx="2">
                  <c:v>15810</c:v>
                </c:pt>
                <c:pt idx="3">
                  <c:v>16744.310000000001</c:v>
                </c:pt>
                <c:pt idx="4">
                  <c:v>15753.19</c:v>
                </c:pt>
              </c:numCache>
            </c:numRef>
          </c:val>
          <c:smooth val="0"/>
          <c:extLst xmlns:c16r2="http://schemas.microsoft.com/office/drawing/2015/06/chart">
            <c:ext xmlns:c16="http://schemas.microsoft.com/office/drawing/2014/chart" uri="{C3380CC4-5D6E-409C-BE32-E72D297353CC}">
              <c16:uniqueId val="{0000000C-6C46-4216-A5BF-32A17B282F08}"/>
            </c:ext>
          </c:extLst>
        </c:ser>
        <c:ser>
          <c:idx val="3"/>
          <c:order val="3"/>
          <c:tx>
            <c:strRef>
              <c:f>Sheet1!$E$1</c:f>
              <c:strCache>
                <c:ptCount val="1"/>
                <c:pt idx="0">
                  <c:v>District-wide</c:v>
                </c:pt>
              </c:strCache>
            </c:strRef>
          </c:tx>
          <c:spPr>
            <a:ln w="25400" cap="flat" cmpd="sng" algn="ctr">
              <a:solidFill>
                <a:schemeClr val="tx2"/>
              </a:solidFill>
              <a:prstDash val="solid"/>
            </a:ln>
            <a:effectLst/>
          </c:spPr>
          <c:marker>
            <c:spPr>
              <a:noFill/>
              <a:ln w="25400" cap="flat" cmpd="sng" algn="ctr">
                <a:solidFill>
                  <a:schemeClr val="tx2"/>
                </a:solidFill>
                <a:prstDash val="solid"/>
              </a:ln>
              <a:effectLst/>
            </c:spPr>
          </c:marker>
          <c:dLbls>
            <c:dLbl>
              <c:idx val="0"/>
              <c:layout>
                <c:manualLayout>
                  <c:x val="-7.250317201377577E-3"/>
                  <c:y val="-3.57325165900969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C46-4216-A5BF-32A17B282F08}"/>
                </c:ext>
                <c:ext xmlns:c15="http://schemas.microsoft.com/office/drawing/2012/chart" uri="{CE6537A1-D6FC-4f65-9D91-7224C49458BB}"/>
              </c:extLst>
            </c:dLbl>
            <c:dLbl>
              <c:idx val="1"/>
              <c:layout>
                <c:manualLayout>
                  <c:x val="-5.4377379010332036E-3"/>
                  <c:y val="-3.062787136294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C46-4216-A5BF-32A17B282F08}"/>
                </c:ext>
                <c:ext xmlns:c15="http://schemas.microsoft.com/office/drawing/2012/chart" uri="{CE6537A1-D6FC-4f65-9D91-7224C49458BB}"/>
              </c:extLst>
            </c:dLbl>
            <c:dLbl>
              <c:idx val="2"/>
              <c:layout>
                <c:manualLayout>
                  <c:x val="-5.4377379010332365E-3"/>
                  <c:y val="-3.06278713629402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C46-4216-A5BF-32A17B282F08}"/>
                </c:ext>
                <c:ext xmlns:c15="http://schemas.microsoft.com/office/drawing/2012/chart" uri="{CE6537A1-D6FC-4f65-9D91-7224C49458BB}"/>
              </c:extLst>
            </c:dLbl>
            <c:dLbl>
              <c:idx val="3"/>
              <c:layout>
                <c:manualLayout>
                  <c:x val="-4.3501903208265427E-2"/>
                  <c:y val="-6.12557427258805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C46-4216-A5BF-32A17B282F08}"/>
                </c:ext>
                <c:ext xmlns:c15="http://schemas.microsoft.com/office/drawing/2012/chart" uri="{CE6537A1-D6FC-4f65-9D91-7224C49458BB}"/>
              </c:extLst>
            </c:dLbl>
            <c:dLbl>
              <c:idx val="4"/>
              <c:layout>
                <c:manualLayout>
                  <c:x val="-3.9876744607576578E-2"/>
                  <c:y val="-4.59418070444104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C46-4216-A5BF-32A17B282F08}"/>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2012-13</c:v>
                </c:pt>
                <c:pt idx="1">
                  <c:v>2013-14</c:v>
                </c:pt>
                <c:pt idx="2">
                  <c:v>2014-15</c:v>
                </c:pt>
                <c:pt idx="3">
                  <c:v>2015-16</c:v>
                </c:pt>
                <c:pt idx="4">
                  <c:v>2016-17</c:v>
                </c:pt>
              </c:strCache>
            </c:strRef>
          </c:cat>
          <c:val>
            <c:numRef>
              <c:f>Sheet1!$E$2:$E$6</c:f>
              <c:numCache>
                <c:formatCode>#,##0</c:formatCode>
                <c:ptCount val="5"/>
                <c:pt idx="0">
                  <c:v>30102.91</c:v>
                </c:pt>
                <c:pt idx="1">
                  <c:v>32622.44</c:v>
                </c:pt>
                <c:pt idx="2">
                  <c:v>30925</c:v>
                </c:pt>
                <c:pt idx="3">
                  <c:v>32623.800000000003</c:v>
                </c:pt>
                <c:pt idx="4">
                  <c:v>30292.33</c:v>
                </c:pt>
              </c:numCache>
            </c:numRef>
          </c:val>
          <c:smooth val="0"/>
          <c:extLst xmlns:c16r2="http://schemas.microsoft.com/office/drawing/2015/06/chart">
            <c:ext xmlns:c16="http://schemas.microsoft.com/office/drawing/2014/chart" uri="{C3380CC4-5D6E-409C-BE32-E72D297353CC}">
              <c16:uniqueId val="{00000012-6C46-4216-A5BF-32A17B282F08}"/>
            </c:ext>
          </c:extLst>
        </c:ser>
        <c:dLbls>
          <c:dLblPos val="r"/>
          <c:showLegendKey val="0"/>
          <c:showVal val="1"/>
          <c:showCatName val="0"/>
          <c:showSerName val="0"/>
          <c:showPercent val="0"/>
          <c:showBubbleSize val="0"/>
        </c:dLbls>
        <c:marker val="1"/>
        <c:smooth val="0"/>
        <c:axId val="239945568"/>
        <c:axId val="239945960"/>
      </c:lineChart>
      <c:catAx>
        <c:axId val="239945568"/>
        <c:scaling>
          <c:orientation val="minMax"/>
        </c:scaling>
        <c:delete val="0"/>
        <c:axPos val="b"/>
        <c:title>
          <c:tx>
            <c:rich>
              <a:bodyPr/>
              <a:lstStyle/>
              <a:p>
                <a:pPr>
                  <a:defRPr/>
                </a:pPr>
                <a:r>
                  <a:rPr lang="en-US"/>
                  <a:t>Fiscal Year (FY)</a:t>
                </a:r>
              </a:p>
            </c:rich>
          </c:tx>
          <c:overlay val="0"/>
        </c:title>
        <c:numFmt formatCode="General" sourceLinked="1"/>
        <c:majorTickMark val="out"/>
        <c:minorTickMark val="none"/>
        <c:tickLblPos val="nextTo"/>
        <c:crossAx val="239945960"/>
        <c:crosses val="autoZero"/>
        <c:auto val="1"/>
        <c:lblAlgn val="ctr"/>
        <c:lblOffset val="100"/>
        <c:noMultiLvlLbl val="0"/>
      </c:catAx>
      <c:valAx>
        <c:axId val="239945960"/>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239945568"/>
        <c:crosses val="autoZero"/>
        <c:crossBetween val="between"/>
      </c:valAx>
    </c:plotArea>
    <c:legend>
      <c:legendPos val="r"/>
      <c:layout>
        <c:manualLayout>
          <c:xMode val="edge"/>
          <c:yMode val="edge"/>
          <c:x val="0.82175826420411435"/>
          <c:y val="0.29076501348510608"/>
          <c:w val="0.15360738961463422"/>
          <c:h val="0.36922743003219544"/>
        </c:manualLayout>
      </c:layout>
      <c:overlay val="0"/>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Calibri" pitchFamily="34" charset="0"/>
              </a:defRPr>
            </a:pPr>
            <a:r>
              <a:rPr lang="en-US" sz="1100" b="1" i="0" u="none" strike="noStrike" baseline="0">
                <a:effectLst/>
                <a:latin typeface="Calibri" pitchFamily="34" charset="0"/>
              </a:rPr>
              <a:t>Fall Successful Transfer Course Completion Rates</a:t>
            </a:r>
            <a:endParaRPr lang="en-US" sz="1100">
              <a:effectLst/>
              <a:latin typeface="Calibri" pitchFamily="34" charset="0"/>
            </a:endParaRPr>
          </a:p>
        </c:rich>
      </c:tx>
      <c:layout>
        <c:manualLayout>
          <c:xMode val="edge"/>
          <c:yMode val="edge"/>
          <c:x val="0.26644162619707296"/>
          <c:y val="1.9728051109416198E-4"/>
        </c:manualLayout>
      </c:layout>
      <c:overlay val="1"/>
    </c:title>
    <c:autoTitleDeleted val="0"/>
    <c:plotArea>
      <c:layout>
        <c:manualLayout>
          <c:layoutTarget val="inner"/>
          <c:xMode val="edge"/>
          <c:yMode val="edge"/>
          <c:x val="5.2926378348869381E-2"/>
          <c:y val="9.6012113244179978E-2"/>
          <c:w val="0.74224238431101464"/>
          <c:h val="0.80033498655779944"/>
        </c:manualLayout>
      </c:layout>
      <c:lineChart>
        <c:grouping val="standard"/>
        <c:varyColors val="0"/>
        <c:ser>
          <c:idx val="0"/>
          <c:order val="0"/>
          <c:tx>
            <c:strRef>
              <c:f>Sheet1!$B$1</c:f>
              <c:strCache>
                <c:ptCount val="1"/>
                <c:pt idx="0">
                  <c:v>Coastline</c:v>
                </c:pt>
              </c:strCache>
            </c:strRef>
          </c:tx>
          <c:spPr>
            <a:ln w="25400" cap="flat" cmpd="sng" algn="ctr">
              <a:solidFill>
                <a:srgbClr val="4F81BD"/>
              </a:solidFill>
              <a:prstDash val="solid"/>
            </a:ln>
            <a:effectLst/>
          </c:spPr>
          <c:marker>
            <c:spPr>
              <a:solidFill>
                <a:schemeClr val="lt1"/>
              </a:solidFill>
              <a:ln w="25400" cap="flat" cmpd="sng" algn="ctr">
                <a:solidFill>
                  <a:srgbClr val="4F81BD"/>
                </a:solidFill>
                <a:prstDash val="solid"/>
              </a:ln>
              <a:effectLst/>
            </c:spPr>
          </c:marker>
          <c:dLbls>
            <c:dLbl>
              <c:idx val="4"/>
              <c:layout>
                <c:manualLayout>
                  <c:x val="-2.8323736944258718E-2"/>
                  <c:y val="6.69041014484199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73-4221-8FF6-81C4FA088C0E}"/>
                </c:ext>
                <c:ext xmlns:c15="http://schemas.microsoft.com/office/drawing/2012/chart" uri="{CE6537A1-D6FC-4f65-9D91-7224C49458BB}">
                  <c15:layout/>
                </c:ext>
              </c:extLst>
            </c:dLbl>
            <c:dLbl>
              <c:idx val="5"/>
              <c:layout>
                <c:manualLayout>
                  <c:x val="-2.6891063751943657E-3"/>
                  <c:y val="-4.775556901541153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73-4221-8FF6-81C4FA088C0E}"/>
                </c:ext>
                <c:ext xmlns:c15="http://schemas.microsoft.com/office/drawing/2012/chart" uri="{CE6537A1-D6FC-4f65-9D91-7224C49458BB}"/>
              </c:extLst>
            </c:dLbl>
            <c:spPr>
              <a:solidFill>
                <a:sysClr val="window" lastClr="FFFFFF">
                  <a:alpha val="60000"/>
                </a:sysClr>
              </a:solidFill>
            </c:spPr>
            <c:txPr>
              <a:bodyPr/>
              <a:lstStyle/>
              <a:p>
                <a:pPr>
                  <a:defRPr sz="800" b="1">
                    <a:solidFill>
                      <a:srgbClr val="0070C0"/>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0.635979631987039</c:v>
                </c:pt>
                <c:pt idx="1">
                  <c:v>0.63500000000000001</c:v>
                </c:pt>
                <c:pt idx="2">
                  <c:v>0.63800000000000001</c:v>
                </c:pt>
                <c:pt idx="3">
                  <c:v>0.64080000000000004</c:v>
                </c:pt>
                <c:pt idx="4">
                  <c:v>0.65900000000000003</c:v>
                </c:pt>
              </c:numCache>
            </c:numRef>
          </c:val>
          <c:smooth val="0"/>
          <c:extLst xmlns:c16r2="http://schemas.microsoft.com/office/drawing/2015/06/chart">
            <c:ext xmlns:c16="http://schemas.microsoft.com/office/drawing/2014/chart" uri="{C3380CC4-5D6E-409C-BE32-E72D297353CC}">
              <c16:uniqueId val="{00000002-9973-4221-8FF6-81C4FA088C0E}"/>
            </c:ext>
          </c:extLst>
        </c:ser>
        <c:ser>
          <c:idx val="1"/>
          <c:order val="1"/>
          <c:tx>
            <c:strRef>
              <c:f>Sheet1!$C$1</c:f>
              <c:strCache>
                <c:ptCount val="1"/>
                <c:pt idx="0">
                  <c:v>Golden West</c:v>
                </c:pt>
              </c:strCache>
            </c:strRef>
          </c:tx>
          <c:spPr>
            <a:ln w="25400" cap="flat" cmpd="sng" algn="ctr">
              <a:solidFill>
                <a:srgbClr val="9BBB59">
                  <a:lumMod val="50000"/>
                </a:srgbClr>
              </a:solidFill>
              <a:prstDash val="solid"/>
            </a:ln>
            <a:effectLst/>
          </c:spPr>
          <c:marker>
            <c:spPr>
              <a:solidFill>
                <a:schemeClr val="lt1"/>
              </a:solidFill>
              <a:ln w="25400" cap="flat" cmpd="sng" algn="ctr">
                <a:solidFill>
                  <a:srgbClr val="9BBB59">
                    <a:lumMod val="50000"/>
                  </a:srgbClr>
                </a:solidFill>
                <a:prstDash val="solid"/>
              </a:ln>
              <a:effectLst/>
            </c:spPr>
          </c:marker>
          <c:dLbls>
            <c:dLbl>
              <c:idx val="0"/>
              <c:layout>
                <c:manualLayout>
                  <c:x val="-3.5616939540839679E-2"/>
                  <c:y val="5.28006595329430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73-4221-8FF6-81C4FA088C0E}"/>
                </c:ext>
                <c:ext xmlns:c15="http://schemas.microsoft.com/office/drawing/2012/chart" uri="{CE6537A1-D6FC-4f65-9D91-7224C49458BB}">
                  <c15:layout/>
                </c:ext>
              </c:extLst>
            </c:dLbl>
            <c:dLbl>
              <c:idx val="4"/>
              <c:layout>
                <c:manualLayout>
                  <c:x val="-7.1516900247320693E-3"/>
                  <c:y val="2.52391816233619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C7-419E-A4B1-01C9CF70B7EA}"/>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0.69791454384892304</c:v>
                </c:pt>
                <c:pt idx="1">
                  <c:v>0.68300000000000005</c:v>
                </c:pt>
                <c:pt idx="2">
                  <c:v>0.68</c:v>
                </c:pt>
                <c:pt idx="3">
                  <c:v>0.69099999999999995</c:v>
                </c:pt>
                <c:pt idx="4">
                  <c:v>0.70599999999999996</c:v>
                </c:pt>
              </c:numCache>
            </c:numRef>
          </c:val>
          <c:smooth val="0"/>
          <c:extLst xmlns:c16r2="http://schemas.microsoft.com/office/drawing/2015/06/chart">
            <c:ext xmlns:c16="http://schemas.microsoft.com/office/drawing/2014/chart" uri="{C3380CC4-5D6E-409C-BE32-E72D297353CC}">
              <c16:uniqueId val="{00000004-9973-4221-8FF6-81C4FA088C0E}"/>
            </c:ext>
          </c:extLst>
        </c:ser>
        <c:ser>
          <c:idx val="2"/>
          <c:order val="2"/>
          <c:tx>
            <c:strRef>
              <c:f>Sheet1!$D$1</c:f>
              <c:strCache>
                <c:ptCount val="1"/>
                <c:pt idx="0">
                  <c:v>Orange Coast</c:v>
                </c:pt>
              </c:strCache>
            </c:strRef>
          </c:tx>
          <c:spPr>
            <a:ln w="25400" cap="flat" cmpd="sng" algn="ctr">
              <a:solidFill>
                <a:srgbClr val="F79646">
                  <a:lumMod val="75000"/>
                </a:srgbClr>
              </a:solidFill>
              <a:prstDash val="solid"/>
            </a:ln>
            <a:effectLst/>
          </c:spPr>
          <c:marker>
            <c:spPr>
              <a:solidFill>
                <a:schemeClr val="lt1"/>
              </a:solidFill>
              <a:ln w="25400" cap="flat" cmpd="sng" algn="ctr">
                <a:solidFill>
                  <a:srgbClr val="F79646">
                    <a:lumMod val="75000"/>
                  </a:srgbClr>
                </a:solidFill>
                <a:prstDash val="solid"/>
              </a:ln>
              <a:effectLst/>
            </c:spPr>
          </c:marker>
          <c:dLbls>
            <c:dLbl>
              <c:idx val="0"/>
              <c:layout>
                <c:manualLayout>
                  <c:x val="-2.982275350370981E-2"/>
                  <c:y val="-5.62549479712554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C7-419E-A4B1-01C9CF70B7EA}"/>
                </c:ext>
                <c:ext xmlns:c15="http://schemas.microsoft.com/office/drawing/2012/chart" uri="{CE6537A1-D6FC-4f65-9D91-7224C49458BB}">
                  <c15:layout/>
                </c:ext>
              </c:extLst>
            </c:dLbl>
            <c:dLbl>
              <c:idx val="4"/>
              <c:layout>
                <c:manualLayout>
                  <c:x val="-3.1883759274525969E-2"/>
                  <c:y val="-5.62549479712554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DC7-419E-A4B1-01C9CF70B7EA}"/>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Sheet1!$D$2:$D$6</c:f>
              <c:numCache>
                <c:formatCode>0%</c:formatCode>
                <c:ptCount val="5"/>
                <c:pt idx="0">
                  <c:v>0.73761190480235095</c:v>
                </c:pt>
                <c:pt idx="1">
                  <c:v>0.72899999999999998</c:v>
                </c:pt>
                <c:pt idx="2">
                  <c:v>0.73</c:v>
                </c:pt>
                <c:pt idx="3">
                  <c:v>0.72450000000000003</c:v>
                </c:pt>
                <c:pt idx="4">
                  <c:v>0.73899999999999999</c:v>
                </c:pt>
              </c:numCache>
            </c:numRef>
          </c:val>
          <c:smooth val="0"/>
          <c:extLst xmlns:c16r2="http://schemas.microsoft.com/office/drawing/2015/06/chart">
            <c:ext xmlns:c16="http://schemas.microsoft.com/office/drawing/2014/chart" uri="{C3380CC4-5D6E-409C-BE32-E72D297353CC}">
              <c16:uniqueId val="{00000005-9973-4221-8FF6-81C4FA088C0E}"/>
            </c:ext>
          </c:extLst>
        </c:ser>
        <c:ser>
          <c:idx val="3"/>
          <c:order val="3"/>
          <c:tx>
            <c:strRef>
              <c:f>Sheet1!$E$1</c:f>
              <c:strCache>
                <c:ptCount val="1"/>
                <c:pt idx="0">
                  <c:v>Statewide</c:v>
                </c:pt>
              </c:strCache>
            </c:strRef>
          </c:tx>
          <c:spPr>
            <a:ln w="25400" cap="flat" cmpd="sng" algn="ctr">
              <a:solidFill>
                <a:srgbClr val="1F497D"/>
              </a:solidFill>
              <a:prstDash val="solid"/>
            </a:ln>
            <a:effectLst/>
          </c:spPr>
          <c:marker>
            <c:symbol val="x"/>
            <c:size val="7"/>
            <c:spPr>
              <a:noFill/>
              <a:ln w="25400" cap="flat" cmpd="sng" algn="ctr">
                <a:solidFill>
                  <a:srgbClr val="1F497D"/>
                </a:solidFill>
                <a:prstDash val="solid"/>
              </a:ln>
              <a:effectLst/>
            </c:spPr>
          </c:marker>
          <c:dLbls>
            <c:dLbl>
              <c:idx val="0"/>
              <c:layout>
                <c:manualLayout>
                  <c:x val="-1.8250449526455544E-2"/>
                  <c:y val="-3.37607837789984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973-4221-8FF6-81C4FA088C0E}"/>
                </c:ext>
                <c:ext xmlns:c15="http://schemas.microsoft.com/office/drawing/2012/chart" uri="{CE6537A1-D6FC-4f65-9D91-7224C49458BB}">
                  <c15:layout/>
                </c:ext>
              </c:extLst>
            </c:dLbl>
            <c:dLbl>
              <c:idx val="1"/>
              <c:layout>
                <c:manualLayout>
                  <c:x val="-3.3944765045342162E-2"/>
                  <c:y val="-5.62549479712555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DC7-419E-A4B1-01C9CF70B7EA}"/>
                </c:ext>
                <c:ext xmlns:c15="http://schemas.microsoft.com/office/drawing/2012/chart" uri="{CE6537A1-D6FC-4f65-9D91-7224C49458BB}">
                  <c15:layout/>
                </c:ext>
              </c:extLst>
            </c:dLbl>
            <c:dLbl>
              <c:idx val="2"/>
              <c:layout>
                <c:manualLayout>
                  <c:x val="-3.3944765045342128E-2"/>
                  <c:y val="-5.10856535799398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C7-419E-A4B1-01C9CF70B7EA}"/>
                </c:ext>
                <c:ext xmlns:c15="http://schemas.microsoft.com/office/drawing/2012/chart" uri="{CE6537A1-D6FC-4f65-9D91-7224C49458BB}">
                  <c15:layout/>
                </c:ext>
              </c:extLst>
            </c:dLbl>
            <c:dLbl>
              <c:idx val="3"/>
              <c:layout>
                <c:manualLayout>
                  <c:x val="-3.8066776586974521E-2"/>
                  <c:y val="-5.10856535799398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C7-419E-A4B1-01C9CF70B7EA}"/>
                </c:ext>
                <c:ext xmlns:c15="http://schemas.microsoft.com/office/drawing/2012/chart" uri="{CE6537A1-D6FC-4f65-9D91-7224C49458BB}">
                  <c15:layout/>
                </c:ext>
              </c:extLst>
            </c:dLbl>
            <c:dLbl>
              <c:idx val="4"/>
              <c:layout>
                <c:manualLayout>
                  <c:x val="-1.1273701566364537E-2"/>
                  <c:y val="-3.0408476014677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C7-419E-A4B1-01C9CF70B7EA}"/>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tx2"/>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Sheet1!$E$2:$E$6</c:f>
              <c:numCache>
                <c:formatCode>0%</c:formatCode>
                <c:ptCount val="5"/>
                <c:pt idx="0">
                  <c:v>0.70544838388675601</c:v>
                </c:pt>
                <c:pt idx="1">
                  <c:v>0.69899999999999995</c:v>
                </c:pt>
                <c:pt idx="2">
                  <c:v>0.7</c:v>
                </c:pt>
                <c:pt idx="3">
                  <c:v>0.69699999999999995</c:v>
                </c:pt>
                <c:pt idx="4">
                  <c:v>0.71099999999999997</c:v>
                </c:pt>
              </c:numCache>
            </c:numRef>
          </c:val>
          <c:smooth val="0"/>
          <c:extLst xmlns:c16r2="http://schemas.microsoft.com/office/drawing/2015/06/chart">
            <c:ext xmlns:c16="http://schemas.microsoft.com/office/drawing/2014/chart" uri="{C3380CC4-5D6E-409C-BE32-E72D297353CC}">
              <c16:uniqueId val="{00000007-9973-4221-8FF6-81C4FA088C0E}"/>
            </c:ext>
          </c:extLst>
        </c:ser>
        <c:dLbls>
          <c:dLblPos val="l"/>
          <c:showLegendKey val="0"/>
          <c:showVal val="1"/>
          <c:showCatName val="0"/>
          <c:showSerName val="0"/>
          <c:showPercent val="0"/>
          <c:showBubbleSize val="0"/>
        </c:dLbls>
        <c:marker val="1"/>
        <c:smooth val="0"/>
        <c:axId val="233128360"/>
        <c:axId val="235935496"/>
      </c:lineChart>
      <c:catAx>
        <c:axId val="233128360"/>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5935496"/>
        <c:crosses val="autoZero"/>
        <c:auto val="1"/>
        <c:lblAlgn val="ctr"/>
        <c:lblOffset val="100"/>
        <c:noMultiLvlLbl val="0"/>
      </c:catAx>
      <c:valAx>
        <c:axId val="235935496"/>
        <c:scaling>
          <c:orientation val="minMax"/>
          <c:max val="0.8"/>
          <c:min val="0.5"/>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3128360"/>
        <c:crosses val="autoZero"/>
        <c:crossBetween val="between"/>
        <c:majorUnit val="2.0000000000000011E-2"/>
      </c:valAx>
    </c:plotArea>
    <c:legend>
      <c:legendPos val="r"/>
      <c:layout>
        <c:manualLayout>
          <c:xMode val="edge"/>
          <c:yMode val="edge"/>
          <c:x val="0.82995176921928449"/>
          <c:y val="0.26735631294989654"/>
          <c:w val="0.15501291937560671"/>
          <c:h val="0.52747602078300559"/>
        </c:manualLayout>
      </c:layout>
      <c:overlay val="0"/>
      <c:txPr>
        <a:bodyPr/>
        <a:lstStyle/>
        <a:p>
          <a:pPr>
            <a:defRPr sz="900">
              <a:latin typeface="Calibri" pitchFamily="34" charset="0"/>
            </a:defRPr>
          </a:pPr>
          <a:endParaRPr lang="en-US"/>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sz="1100" b="1" i="0" u="none" strike="noStrike" baseline="0">
                <a:effectLst/>
                <a:latin typeface="Calibri" pitchFamily="34" charset="0"/>
              </a:rPr>
              <a:t>Credit Student Unduplicated Headcount</a:t>
            </a:r>
            <a:endParaRPr lang="en-US" sz="1100">
              <a:effectLst/>
              <a:latin typeface="Calibri" pitchFamily="34" charset="0"/>
            </a:endParaRPr>
          </a:p>
        </c:rich>
      </c:tx>
      <c:layout>
        <c:manualLayout>
          <c:xMode val="edge"/>
          <c:yMode val="edge"/>
          <c:x val="0.31672922417007243"/>
          <c:y val="0"/>
        </c:manualLayout>
      </c:layout>
      <c:overlay val="1"/>
      <c:spPr>
        <a:noFill/>
        <a:ln>
          <a:noFill/>
        </a:ln>
        <a:effectLst/>
      </c:spPr>
    </c:title>
    <c:autoTitleDeleted val="0"/>
    <c:plotArea>
      <c:layout>
        <c:manualLayout>
          <c:layoutTarget val="inner"/>
          <c:xMode val="edge"/>
          <c:yMode val="edge"/>
          <c:x val="7.337197228243407E-2"/>
          <c:y val="0.15074679870704183"/>
          <c:w val="0.73963822321900752"/>
          <c:h val="0.71237199917663263"/>
        </c:manualLayout>
      </c:layout>
      <c:lineChart>
        <c:grouping val="standard"/>
        <c:varyColors val="0"/>
        <c:ser>
          <c:idx val="0"/>
          <c:order val="0"/>
          <c:tx>
            <c:strRef>
              <c:f>Sheet1!$B$1</c:f>
              <c:strCache>
                <c:ptCount val="1"/>
                <c:pt idx="0">
                  <c:v>Coastline</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dLbls>
            <c:dLbl>
              <c:idx val="0"/>
              <c:layout>
                <c:manualLayout>
                  <c:x val="-3.8689519894717347E-2"/>
                  <c:y val="3.57873210633946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43-4D97-9F44-1F8DB552817C}"/>
                </c:ext>
                <c:ext xmlns:c15="http://schemas.microsoft.com/office/drawing/2012/chart" uri="{CE6537A1-D6FC-4f65-9D91-7224C49458BB}"/>
              </c:extLst>
            </c:dLbl>
            <c:dLbl>
              <c:idx val="1"/>
              <c:layout>
                <c:manualLayout>
                  <c:x val="-3.8689519894717368E-2"/>
                  <c:y val="2.04498977505111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43-4D97-9F44-1F8DB552817C}"/>
                </c:ext>
                <c:ext xmlns:c15="http://schemas.microsoft.com/office/drawing/2012/chart" uri="{CE6537A1-D6FC-4f65-9D91-7224C49458BB}"/>
              </c:extLst>
            </c:dLbl>
            <c:dLbl>
              <c:idx val="2"/>
              <c:layout>
                <c:manualLayout>
                  <c:x val="-3.8689519894717334E-2"/>
                  <c:y val="3.57873210633946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43-4D97-9F44-1F8DB552817C}"/>
                </c:ext>
                <c:ext xmlns:c15="http://schemas.microsoft.com/office/drawing/2012/chart" uri="{CE6537A1-D6FC-4f65-9D91-7224C49458BB}"/>
              </c:extLst>
            </c:dLbl>
            <c:dLbl>
              <c:idx val="3"/>
              <c:layout>
                <c:manualLayout>
                  <c:x val="-3.3236461637878287E-2"/>
                  <c:y val="3.06748466257668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43-4D97-9F44-1F8DB552817C}"/>
                </c:ext>
                <c:ext xmlns:c15="http://schemas.microsoft.com/office/drawing/2012/chart" uri="{CE6537A1-D6FC-4f65-9D91-7224C49458BB}"/>
              </c:extLst>
            </c:dLbl>
            <c:dLbl>
              <c:idx val="4"/>
              <c:layout>
                <c:manualLayout>
                  <c:x val="-3.6871833809104318E-2"/>
                  <c:y val="5.62372188139059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43-4D97-9F44-1F8DB552817C}"/>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accent1"/>
                    </a:solidFill>
                    <a:latin typeface="Calibri" pitchFamily="34" charset="0"/>
                    <a:ea typeface="+mn-ea"/>
                    <a:cs typeface="+mn-cs"/>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c:formatCode>
                <c:ptCount val="5"/>
                <c:pt idx="0">
                  <c:v>9453</c:v>
                </c:pt>
                <c:pt idx="1">
                  <c:v>10377</c:v>
                </c:pt>
                <c:pt idx="2">
                  <c:v>11461</c:v>
                </c:pt>
                <c:pt idx="3">
                  <c:v>11605</c:v>
                </c:pt>
                <c:pt idx="4">
                  <c:v>10806</c:v>
                </c:pt>
              </c:numCache>
            </c:numRef>
          </c:val>
          <c:smooth val="0"/>
          <c:extLst xmlns:c16r2="http://schemas.microsoft.com/office/drawing/2015/06/chart">
            <c:ext xmlns:c16="http://schemas.microsoft.com/office/drawing/2014/chart" uri="{C3380CC4-5D6E-409C-BE32-E72D297353CC}">
              <c16:uniqueId val="{00000005-D443-4D97-9F44-1F8DB552817C}"/>
            </c:ext>
          </c:extLst>
        </c:ser>
        <c:ser>
          <c:idx val="1"/>
          <c:order val="1"/>
          <c:tx>
            <c:strRef>
              <c:f>Sheet1!$C$1</c:f>
              <c:strCache>
                <c:ptCount val="1"/>
                <c:pt idx="0">
                  <c:v>CCC Mil</c:v>
                </c:pt>
              </c:strCache>
            </c:strRef>
          </c:tx>
          <c:spPr>
            <a:ln w="28575" cap="rnd" cmpd="sng" algn="ctr">
              <a:solidFill>
                <a:schemeClr val="accent2">
                  <a:shade val="95000"/>
                  <a:satMod val="105000"/>
                </a:schemeClr>
              </a:solidFill>
              <a:prstDash val="solid"/>
              <a:round/>
            </a:ln>
            <a:effectLst/>
          </c:spPr>
          <c:marker>
            <c:spPr>
              <a:solidFill>
                <a:schemeClr val="accent2"/>
              </a:solidFill>
              <a:ln w="9525" cap="flat" cmpd="sng" algn="ctr">
                <a:solidFill>
                  <a:schemeClr val="accent2">
                    <a:shade val="95000"/>
                    <a:satMod val="105000"/>
                  </a:schemeClr>
                </a:solidFill>
                <a:prstDash val="solid"/>
                <a:round/>
              </a:ln>
              <a:effectLst/>
            </c:spPr>
          </c:marker>
          <c:dLbls>
            <c:dLbl>
              <c:idx val="0"/>
              <c:layout>
                <c:manualLayout>
                  <c:x val="-3.8171407797873307E-2"/>
                  <c:y val="-3.57873210633946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443-4D97-9F44-1F8DB552817C}"/>
                </c:ext>
                <c:ext xmlns:c15="http://schemas.microsoft.com/office/drawing/2012/chart" uri="{CE6537A1-D6FC-4f65-9D91-7224C49458BB}"/>
              </c:extLst>
            </c:dLbl>
            <c:dLbl>
              <c:idx val="1"/>
              <c:layout>
                <c:manualLayout>
                  <c:x val="-3.8171407797873307E-2"/>
                  <c:y val="-3.06748466257668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443-4D97-9F44-1F8DB552817C}"/>
                </c:ext>
                <c:ext xmlns:c15="http://schemas.microsoft.com/office/drawing/2012/chart" uri="{CE6537A1-D6FC-4f65-9D91-7224C49458BB}"/>
              </c:extLst>
            </c:dLbl>
            <c:dLbl>
              <c:idx val="2"/>
              <c:layout>
                <c:manualLayout>
                  <c:x val="-3.8171407797873376E-2"/>
                  <c:y val="-3.57873210633945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443-4D97-9F44-1F8DB552817C}"/>
                </c:ext>
                <c:ext xmlns:c15="http://schemas.microsoft.com/office/drawing/2012/chart" uri="{CE6537A1-D6FC-4f65-9D91-7224C49458BB}"/>
              </c:extLst>
            </c:dLbl>
            <c:dLbl>
              <c:idx val="3"/>
              <c:layout>
                <c:manualLayout>
                  <c:x val="-3.8171407797873307E-2"/>
                  <c:y val="-4.60122699386503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443-4D97-9F44-1F8DB552817C}"/>
                </c:ext>
                <c:ext xmlns:c15="http://schemas.microsoft.com/office/drawing/2012/chart" uri="{CE6537A1-D6FC-4f65-9D91-7224C49458BB}"/>
              </c:extLst>
            </c:dLbl>
            <c:dLbl>
              <c:idx val="4"/>
              <c:layout>
                <c:manualLayout>
                  <c:x val="-3.6353721712260423E-2"/>
                  <c:y val="-4.08997955010224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443-4D97-9F44-1F8DB552817C}"/>
                </c:ext>
                <c:ext xmlns:c15="http://schemas.microsoft.com/office/drawing/2012/chart" uri="{CE6537A1-D6FC-4f65-9D91-7224C49458BB}"/>
              </c:extLst>
            </c:dLbl>
            <c:dLbl>
              <c:idx val="5"/>
              <c:layout>
                <c:manualLayout>
                  <c:x val="-3.6353721712261626E-3"/>
                  <c:y val="-1.72364263142775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443-4D97-9F44-1F8DB552817C}"/>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accent3">
                        <a:lumMod val="50000"/>
                      </a:schemeClr>
                    </a:solidFill>
                    <a:latin typeface="Calibri" pitchFamily="34" charset="0"/>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c:formatCode>
                <c:ptCount val="5"/>
                <c:pt idx="0">
                  <c:v>3287</c:v>
                </c:pt>
                <c:pt idx="1">
                  <c:v>3197</c:v>
                </c:pt>
                <c:pt idx="2">
                  <c:v>3410</c:v>
                </c:pt>
                <c:pt idx="3">
                  <c:v>2525</c:v>
                </c:pt>
                <c:pt idx="4">
                  <c:v>2156</c:v>
                </c:pt>
              </c:numCache>
            </c:numRef>
          </c:val>
          <c:smooth val="0"/>
          <c:extLst xmlns:c16r2="http://schemas.microsoft.com/office/drawing/2015/06/chart">
            <c:ext xmlns:c16="http://schemas.microsoft.com/office/drawing/2014/chart" uri="{C3380CC4-5D6E-409C-BE32-E72D297353CC}">
              <c16:uniqueId val="{0000000C-D443-4D97-9F44-1F8DB552817C}"/>
            </c:ext>
          </c:extLst>
        </c:ser>
        <c:ser>
          <c:idx val="2"/>
          <c:order val="2"/>
          <c:tx>
            <c:strRef>
              <c:f>Sheet1!$D$1</c:f>
              <c:strCache>
                <c:ptCount val="1"/>
                <c:pt idx="0">
                  <c:v>Golden West</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dPt>
            <c:idx val="2"/>
            <c:bubble3D val="0"/>
            <c:extLst xmlns:c16r2="http://schemas.microsoft.com/office/drawing/2015/06/chart">
              <c:ext xmlns:c16="http://schemas.microsoft.com/office/drawing/2014/chart" uri="{C3380CC4-5D6E-409C-BE32-E72D297353CC}">
                <c16:uniqueId val="{0000000D-D443-4D97-9F44-1F8DB552817C}"/>
              </c:ext>
            </c:extLst>
          </c:dPt>
          <c:dLbls>
            <c:dLbl>
              <c:idx val="0"/>
              <c:layout>
                <c:manualLayout>
                  <c:x val="-3.878942106698173E-2"/>
                  <c:y val="-4.08997955010225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443-4D97-9F44-1F8DB552817C}"/>
                </c:ext>
                <c:ext xmlns:c15="http://schemas.microsoft.com/office/drawing/2012/chart" uri="{CE6537A1-D6FC-4f65-9D91-7224C49458BB}"/>
              </c:extLst>
            </c:dLbl>
            <c:dLbl>
              <c:idx val="1"/>
              <c:layout>
                <c:manualLayout>
                  <c:x val="-4.2424793238207761E-2"/>
                  <c:y val="-3.6420433082176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443-4D97-9F44-1F8DB552817C}"/>
                </c:ext>
                <c:ext xmlns:c15="http://schemas.microsoft.com/office/drawing/2012/chart" uri="{CE6537A1-D6FC-4f65-9D91-7224C49458BB}"/>
              </c:extLst>
            </c:dLbl>
            <c:dLbl>
              <c:idx val="2"/>
              <c:layout>
                <c:manualLayout>
                  <c:x val="-5.6966281923111879E-2"/>
                  <c:y val="-4.15330014227969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443-4D97-9F44-1F8DB552817C}"/>
                </c:ext>
                <c:ext xmlns:c15="http://schemas.microsoft.com/office/drawing/2012/chart" uri="{CE6537A1-D6FC-4f65-9D91-7224C49458BB}"/>
              </c:extLst>
            </c:dLbl>
            <c:dLbl>
              <c:idx val="3"/>
              <c:layout>
                <c:manualLayout>
                  <c:x val="-3.878942106698173E-2"/>
                  <c:y val="-5.62372188139059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443-4D97-9F44-1F8DB552817C}"/>
                </c:ext>
                <c:ext xmlns:c15="http://schemas.microsoft.com/office/drawing/2012/chart" uri="{CE6537A1-D6FC-4f65-9D91-7224C49458BB}"/>
              </c:extLst>
            </c:dLbl>
            <c:dLbl>
              <c:idx val="4"/>
              <c:layout>
                <c:manualLayout>
                  <c:x val="-3.6971734981368715E-2"/>
                  <c:y val="-4.72784768608893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443-4D97-9F44-1F8DB552817C}"/>
                </c:ext>
                <c:ext xmlns:c15="http://schemas.microsoft.com/office/drawing/2012/chart" uri="{CE6537A1-D6FC-4f65-9D91-7224C49458BB}"/>
              </c:extLst>
            </c:dLbl>
            <c:dLbl>
              <c:idx val="5"/>
              <c:layout>
                <c:manualLayout>
                  <c:x val="-7.8887576115604843E-3"/>
                  <c:y val="-1.72364263142775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443-4D97-9F44-1F8DB552817C}"/>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accent6">
                        <a:lumMod val="75000"/>
                      </a:schemeClr>
                    </a:solidFill>
                    <a:latin typeface="Calibri" pitchFamily="34" charset="0"/>
                    <a:ea typeface="+mn-ea"/>
                    <a:cs typeface="+mn-cs"/>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Sheet1!$D$2:$D$6</c:f>
              <c:numCache>
                <c:formatCode>##,##0</c:formatCode>
                <c:ptCount val="5"/>
                <c:pt idx="0">
                  <c:v>12531</c:v>
                </c:pt>
                <c:pt idx="1">
                  <c:v>12746</c:v>
                </c:pt>
                <c:pt idx="2">
                  <c:v>12516</c:v>
                </c:pt>
                <c:pt idx="3">
                  <c:v>12188</c:v>
                </c:pt>
                <c:pt idx="4">
                  <c:v>12005</c:v>
                </c:pt>
              </c:numCache>
            </c:numRef>
          </c:val>
          <c:smooth val="0"/>
          <c:extLst xmlns:c16r2="http://schemas.microsoft.com/office/drawing/2015/06/chart">
            <c:ext xmlns:c16="http://schemas.microsoft.com/office/drawing/2014/chart" uri="{C3380CC4-5D6E-409C-BE32-E72D297353CC}">
              <c16:uniqueId val="{00000013-D443-4D97-9F44-1F8DB552817C}"/>
            </c:ext>
          </c:extLst>
        </c:ser>
        <c:ser>
          <c:idx val="3"/>
          <c:order val="3"/>
          <c:tx>
            <c:strRef>
              <c:f>Sheet1!$E$1</c:f>
              <c:strCache>
                <c:ptCount val="1"/>
                <c:pt idx="0">
                  <c:v>Orange Coast</c:v>
                </c:pt>
              </c:strCache>
            </c:strRef>
          </c:tx>
          <c:spPr>
            <a:ln w="28575" cap="rnd" cmpd="sng" algn="ctr">
              <a:solidFill>
                <a:schemeClr val="accent6"/>
              </a:solidFill>
              <a:prstDash val="solid"/>
              <a:round/>
            </a:ln>
            <a:effectLst/>
          </c:spPr>
          <c:marker>
            <c:spPr>
              <a:noFill/>
              <a:ln w="9525" cap="flat" cmpd="sng" algn="ctr">
                <a:solidFill>
                  <a:schemeClr val="accent6"/>
                </a:solidFill>
                <a:prstDash val="solid"/>
                <a:round/>
              </a:ln>
              <a:effectLst/>
            </c:spPr>
          </c:marker>
          <c:dLbls>
            <c:dLbl>
              <c:idx val="0"/>
              <c:layout>
                <c:manualLayout>
                  <c:x val="-1.2723802599291102E-2"/>
                  <c:y val="-4.60122699386503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D443-4D97-9F44-1F8DB552817C}"/>
                </c:ext>
                <c:ext xmlns:c15="http://schemas.microsoft.com/office/drawing/2012/chart" uri="{CE6537A1-D6FC-4f65-9D91-7224C49458BB}"/>
              </c:extLst>
            </c:dLbl>
            <c:dLbl>
              <c:idx val="1"/>
              <c:layout>
                <c:manualLayout>
                  <c:x val="-7.2707443424520589E-3"/>
                  <c:y val="-2.75099697570840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443-4D97-9F44-1F8DB552817C}"/>
                </c:ext>
                <c:ext xmlns:c15="http://schemas.microsoft.com/office/drawing/2012/chart" uri="{CE6537A1-D6FC-4f65-9D91-7224C49458BB}"/>
              </c:extLst>
            </c:dLbl>
            <c:dLbl>
              <c:idx val="2"/>
              <c:layout>
                <c:manualLayout>
                  <c:x val="-2.726529128419522E-2"/>
                  <c:y val="-5.49226735913971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443-4D97-9F44-1F8DB552817C}"/>
                </c:ext>
                <c:ext xmlns:c15="http://schemas.microsoft.com/office/drawing/2012/chart" uri="{CE6537A1-D6FC-4f65-9D91-7224C49458BB}"/>
              </c:extLst>
            </c:dLbl>
            <c:dLbl>
              <c:idx val="3"/>
              <c:layout>
                <c:manualLayout>
                  <c:x val="-3.8171407797873307E-2"/>
                  <c:y val="-5.1124744376278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443-4D97-9F44-1F8DB552817C}"/>
                </c:ext>
                <c:ext xmlns:c15="http://schemas.microsoft.com/office/drawing/2012/chart" uri="{CE6537A1-D6FC-4f65-9D91-7224C49458BB}"/>
              </c:extLst>
            </c:dLbl>
            <c:dLbl>
              <c:idx val="4"/>
              <c:layout>
                <c:manualLayout>
                  <c:x val="-4.3624466054712353E-2"/>
                  <c:y val="-4.8544291055832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443-4D97-9F44-1F8DB552817C}"/>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tx2"/>
                    </a:solidFill>
                    <a:latin typeface="Calibri" pitchFamily="34" charset="0"/>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Sheet1!$E$2:$E$6</c:f>
              <c:numCache>
                <c:formatCode>##,##0</c:formatCode>
                <c:ptCount val="5"/>
                <c:pt idx="0">
                  <c:v>21415</c:v>
                </c:pt>
                <c:pt idx="1">
                  <c:v>22170</c:v>
                </c:pt>
                <c:pt idx="2">
                  <c:v>21930</c:v>
                </c:pt>
                <c:pt idx="3">
                  <c:v>22295</c:v>
                </c:pt>
                <c:pt idx="4">
                  <c:v>21903</c:v>
                </c:pt>
              </c:numCache>
            </c:numRef>
          </c:val>
          <c:smooth val="0"/>
          <c:extLst xmlns:c16r2="http://schemas.microsoft.com/office/drawing/2015/06/chart">
            <c:ext xmlns:c16="http://schemas.microsoft.com/office/drawing/2014/chart" uri="{C3380CC4-5D6E-409C-BE32-E72D297353CC}">
              <c16:uniqueId val="{00000019-D443-4D97-9F44-1F8DB552817C}"/>
            </c:ext>
          </c:extLst>
        </c:ser>
        <c:ser>
          <c:idx val="4"/>
          <c:order val="4"/>
          <c:tx>
            <c:strRef>
              <c:f>Sheet1!$F$1</c:f>
              <c:strCache>
                <c:ptCount val="1"/>
                <c:pt idx="0">
                  <c:v>District-wide</c:v>
                </c:pt>
              </c:strCache>
            </c:strRef>
          </c:tx>
          <c:spPr>
            <a:ln w="28575" cap="rnd" cmpd="sng" algn="ctr">
              <a:solidFill>
                <a:schemeClr val="accent5">
                  <a:shade val="95000"/>
                  <a:satMod val="105000"/>
                </a:schemeClr>
              </a:solidFill>
              <a:prstDash val="solid"/>
              <a:round/>
            </a:ln>
            <a:effectLst/>
          </c:spPr>
          <c:marker>
            <c:spPr>
              <a:noFill/>
              <a:ln w="9525" cap="flat" cmpd="sng" algn="ctr">
                <a:solidFill>
                  <a:schemeClr val="accent5">
                    <a:shade val="95000"/>
                    <a:satMod val="105000"/>
                  </a:schemeClr>
                </a:solidFill>
                <a:prstDash val="solid"/>
                <a:round/>
              </a:ln>
              <a:effectLst/>
            </c:spPr>
          </c:marker>
          <c:dLbls>
            <c:dLbl>
              <c:idx val="0"/>
              <c:layout>
                <c:manualLayout>
                  <c:x val="0"/>
                  <c:y val="-4.0218328066647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D443-4D97-9F44-1F8DB552817C}"/>
                </c:ext>
                <c:ext xmlns:c15="http://schemas.microsoft.com/office/drawing/2012/chart" uri="{CE6537A1-D6FC-4f65-9D91-7224C49458BB}"/>
              </c:extLst>
            </c:dLbl>
            <c:dLbl>
              <c:idx val="1"/>
              <c:layout>
                <c:manualLayout>
                  <c:x val="-3.0900663455421248E-2"/>
                  <c:y val="-5.74547543809250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D443-4D97-9F44-1F8DB552817C}"/>
                </c:ext>
                <c:ext xmlns:c15="http://schemas.microsoft.com/office/drawing/2012/chart" uri="{CE6537A1-D6FC-4f65-9D91-7224C49458BB}"/>
              </c:extLst>
            </c:dLbl>
            <c:dLbl>
              <c:idx val="2"/>
              <c:layout>
                <c:manualLayout>
                  <c:x val="-5.453058256839111E-3"/>
                  <c:y val="-4.59638035047400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D443-4D97-9F44-1F8DB552817C}"/>
                </c:ext>
                <c:ext xmlns:c15="http://schemas.microsoft.com/office/drawing/2012/chart" uri="{CE6537A1-D6FC-4f65-9D91-7224C49458BB}"/>
              </c:extLst>
            </c:dLbl>
            <c:dLbl>
              <c:idx val="3"/>
              <c:layout>
                <c:manualLayout>
                  <c:x val="-3.0900663455421248E-2"/>
                  <c:y val="-5.74547543809250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D443-4D97-9F44-1F8DB552817C}"/>
                </c:ext>
                <c:ext xmlns:c15="http://schemas.microsoft.com/office/drawing/2012/chart" uri="{CE6537A1-D6FC-4f65-9D91-7224C49458BB}"/>
              </c:extLst>
            </c:dLbl>
            <c:dLbl>
              <c:idx val="4"/>
              <c:layout>
                <c:manualLayout>
                  <c:x val="-4.5442152140325501E-2"/>
                  <c:y val="-6.32002298190175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D443-4D97-9F44-1F8DB55281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Sheet1!$F$2:$F$6</c:f>
              <c:numCache>
                <c:formatCode>##,##0</c:formatCode>
                <c:ptCount val="5"/>
                <c:pt idx="0">
                  <c:v>43751</c:v>
                </c:pt>
                <c:pt idx="1">
                  <c:v>43575</c:v>
                </c:pt>
                <c:pt idx="2">
                  <c:v>46092</c:v>
                </c:pt>
                <c:pt idx="3">
                  <c:v>44537</c:v>
                </c:pt>
                <c:pt idx="4">
                  <c:v>42952</c:v>
                </c:pt>
              </c:numCache>
            </c:numRef>
          </c:val>
          <c:smooth val="0"/>
          <c:extLst xmlns:c16r2="http://schemas.microsoft.com/office/drawing/2015/06/chart">
            <c:ext xmlns:c16="http://schemas.microsoft.com/office/drawing/2014/chart" uri="{C3380CC4-5D6E-409C-BE32-E72D297353CC}">
              <c16:uniqueId val="{0000001F-D443-4D97-9F44-1F8DB552817C}"/>
            </c:ext>
          </c:extLst>
        </c:ser>
        <c:dLbls>
          <c:dLblPos val="r"/>
          <c:showLegendKey val="0"/>
          <c:showVal val="1"/>
          <c:showCatName val="0"/>
          <c:showSerName val="0"/>
          <c:showPercent val="0"/>
          <c:showBubbleSize val="0"/>
        </c:dLbls>
        <c:marker val="1"/>
        <c:smooth val="0"/>
        <c:axId val="239946744"/>
        <c:axId val="239947136"/>
      </c:lineChart>
      <c:catAx>
        <c:axId val="23994674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9947136"/>
        <c:crosses val="autoZero"/>
        <c:auto val="1"/>
        <c:lblAlgn val="ctr"/>
        <c:lblOffset val="100"/>
        <c:noMultiLvlLbl val="0"/>
      </c:catAx>
      <c:valAx>
        <c:axId val="239947136"/>
        <c:scaling>
          <c:orientation val="minMax"/>
        </c:scaling>
        <c:delete val="0"/>
        <c:axPos val="l"/>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9946744"/>
        <c:crosses val="autoZero"/>
        <c:crossBetween val="between"/>
      </c:valAx>
      <c:spPr>
        <a:solidFill>
          <a:schemeClr val="bg1"/>
        </a:solidFill>
        <a:ln>
          <a:noFill/>
        </a:ln>
        <a:effectLst/>
      </c:spPr>
    </c:plotArea>
    <c:legend>
      <c:legendPos val="r"/>
      <c:layout>
        <c:manualLayout>
          <c:xMode val="edge"/>
          <c:yMode val="edge"/>
          <c:x val="0.85018655290410772"/>
          <c:y val="0.29076501348510608"/>
          <c:w val="0.1498134009264474"/>
          <c:h val="0.519474673537109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Calibri" pitchFamily="34" charset="0"/>
                <a:ea typeface="+mn-ea"/>
                <a:cs typeface="+mn-cs"/>
              </a:defRPr>
            </a:pPr>
            <a:r>
              <a:rPr lang="en-US" sz="1100" b="1" i="0" u="none" strike="noStrike" baseline="0">
                <a:effectLst/>
                <a:latin typeface="Calibri" pitchFamily="34" charset="0"/>
              </a:rPr>
              <a:t>Full-Time Credit Student Headcount</a:t>
            </a:r>
            <a:endParaRPr lang="en-US" sz="1100">
              <a:effectLst/>
              <a:latin typeface="Calibri" pitchFamily="34" charset="0"/>
            </a:endParaRPr>
          </a:p>
        </c:rich>
      </c:tx>
      <c:layout>
        <c:manualLayout>
          <c:xMode val="edge"/>
          <c:yMode val="edge"/>
          <c:x val="0.34473436012806091"/>
          <c:y val="0"/>
        </c:manualLayout>
      </c:layout>
      <c:overlay val="1"/>
      <c:spPr>
        <a:noFill/>
        <a:ln>
          <a:noFill/>
        </a:ln>
        <a:effectLst/>
      </c:spPr>
    </c:title>
    <c:autoTitleDeleted val="0"/>
    <c:plotArea>
      <c:layout>
        <c:manualLayout>
          <c:layoutTarget val="inner"/>
          <c:xMode val="edge"/>
          <c:yMode val="edge"/>
          <c:x val="7.0282452392391837E-2"/>
          <c:y val="0.15387191926086638"/>
          <c:w val="0.7380254311326252"/>
          <c:h val="0.72196923526973988"/>
        </c:manualLayout>
      </c:layout>
      <c:lineChart>
        <c:grouping val="standard"/>
        <c:varyColors val="0"/>
        <c:ser>
          <c:idx val="0"/>
          <c:order val="0"/>
          <c:tx>
            <c:strRef>
              <c:f>Sheet1!$B$1</c:f>
              <c:strCache>
                <c:ptCount val="1"/>
                <c:pt idx="0">
                  <c:v>Coastline</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dLbls>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tx2">
                        <a:lumMod val="60000"/>
                        <a:lumOff val="40000"/>
                      </a:schemeClr>
                    </a:solidFill>
                    <a:latin typeface="Calibri"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c:formatCode>
                <c:ptCount val="5"/>
                <c:pt idx="0">
                  <c:v>1375</c:v>
                </c:pt>
                <c:pt idx="1">
                  <c:v>1381</c:v>
                </c:pt>
                <c:pt idx="2">
                  <c:v>1620</c:v>
                </c:pt>
                <c:pt idx="3">
                  <c:v>1722</c:v>
                </c:pt>
                <c:pt idx="4">
                  <c:v>1607</c:v>
                </c:pt>
              </c:numCache>
            </c:numRef>
          </c:val>
          <c:smooth val="0"/>
          <c:extLst xmlns:c16r2="http://schemas.microsoft.com/office/drawing/2015/06/chart">
            <c:ext xmlns:c16="http://schemas.microsoft.com/office/drawing/2014/chart" uri="{C3380CC4-5D6E-409C-BE32-E72D297353CC}">
              <c16:uniqueId val="{00000000-05F2-4EAC-9110-FA248C636B65}"/>
            </c:ext>
          </c:extLst>
        </c:ser>
        <c:ser>
          <c:idx val="1"/>
          <c:order val="1"/>
          <c:tx>
            <c:strRef>
              <c:f>Sheet1!$C$1</c:f>
              <c:strCache>
                <c:ptCount val="1"/>
                <c:pt idx="0">
                  <c:v>CCC Mil</c:v>
                </c:pt>
              </c:strCache>
            </c:strRef>
          </c:tx>
          <c:spPr>
            <a:ln w="28575" cap="rnd" cmpd="sng" algn="ctr">
              <a:solidFill>
                <a:schemeClr val="accent2">
                  <a:shade val="95000"/>
                  <a:satMod val="105000"/>
                </a:schemeClr>
              </a:solidFill>
              <a:prstDash val="solid"/>
              <a:round/>
            </a:ln>
            <a:effectLst/>
          </c:spPr>
          <c:marker>
            <c:spPr>
              <a:solidFill>
                <a:schemeClr val="accent2"/>
              </a:solidFill>
              <a:ln w="9525" cap="flat" cmpd="sng" algn="ctr">
                <a:solidFill>
                  <a:schemeClr val="accent2">
                    <a:shade val="95000"/>
                    <a:satMod val="105000"/>
                  </a:schemeClr>
                </a:solidFill>
                <a:prstDash val="solid"/>
                <a:round/>
              </a:ln>
              <a:effectLst/>
            </c:spPr>
          </c:marker>
          <c:dLbls>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accent3">
                        <a:lumMod val="50000"/>
                      </a:schemeClr>
                    </a:solidFill>
                    <a:latin typeface="Calibri"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c:formatCode>
                <c:ptCount val="5"/>
                <c:pt idx="0">
                  <c:v>319</c:v>
                </c:pt>
                <c:pt idx="1">
                  <c:v>285</c:v>
                </c:pt>
                <c:pt idx="2">
                  <c:v>278</c:v>
                </c:pt>
                <c:pt idx="3">
                  <c:v>269</c:v>
                </c:pt>
                <c:pt idx="4">
                  <c:v>221</c:v>
                </c:pt>
              </c:numCache>
            </c:numRef>
          </c:val>
          <c:smooth val="0"/>
          <c:extLst xmlns:c16r2="http://schemas.microsoft.com/office/drawing/2015/06/chart">
            <c:ext xmlns:c16="http://schemas.microsoft.com/office/drawing/2014/chart" uri="{C3380CC4-5D6E-409C-BE32-E72D297353CC}">
              <c16:uniqueId val="{00000001-05F2-4EAC-9110-FA248C636B65}"/>
            </c:ext>
          </c:extLst>
        </c:ser>
        <c:ser>
          <c:idx val="2"/>
          <c:order val="2"/>
          <c:tx>
            <c:strRef>
              <c:f>Sheet1!$D$1</c:f>
              <c:strCache>
                <c:ptCount val="1"/>
                <c:pt idx="0">
                  <c:v>Golden West</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dLbls>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accent6">
                        <a:lumMod val="75000"/>
                      </a:schemeClr>
                    </a:solidFill>
                    <a:latin typeface="Calibri"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Sheet1!$D$2:$D$6</c:f>
              <c:numCache>
                <c:formatCode>##,##0</c:formatCode>
                <c:ptCount val="5"/>
                <c:pt idx="0">
                  <c:v>4508</c:v>
                </c:pt>
                <c:pt idx="1">
                  <c:v>4576</c:v>
                </c:pt>
                <c:pt idx="2">
                  <c:v>4472</c:v>
                </c:pt>
                <c:pt idx="3">
                  <c:v>4191</c:v>
                </c:pt>
                <c:pt idx="4">
                  <c:v>3848</c:v>
                </c:pt>
              </c:numCache>
            </c:numRef>
          </c:val>
          <c:smooth val="0"/>
          <c:extLst xmlns:c16r2="http://schemas.microsoft.com/office/drawing/2015/06/chart">
            <c:ext xmlns:c16="http://schemas.microsoft.com/office/drawing/2014/chart" uri="{C3380CC4-5D6E-409C-BE32-E72D297353CC}">
              <c16:uniqueId val="{00000002-05F2-4EAC-9110-FA248C636B65}"/>
            </c:ext>
          </c:extLst>
        </c:ser>
        <c:ser>
          <c:idx val="3"/>
          <c:order val="3"/>
          <c:tx>
            <c:strRef>
              <c:f>Sheet1!$E$1</c:f>
              <c:strCache>
                <c:ptCount val="1"/>
                <c:pt idx="0">
                  <c:v>Orange Coast</c:v>
                </c:pt>
              </c:strCache>
            </c:strRef>
          </c:tx>
          <c:spPr>
            <a:ln w="28575" cap="rnd" cmpd="sng" algn="ctr">
              <a:solidFill>
                <a:schemeClr val="accent6"/>
              </a:solidFill>
              <a:prstDash val="solid"/>
              <a:round/>
            </a:ln>
            <a:effectLst/>
          </c:spPr>
          <c:marker>
            <c:spPr>
              <a:noFill/>
              <a:ln w="9525" cap="flat" cmpd="sng" algn="ctr">
                <a:solidFill>
                  <a:schemeClr val="accent6"/>
                </a:solidFill>
                <a:prstDash val="solid"/>
                <a:round/>
              </a:ln>
              <a:effectLst/>
            </c:spPr>
          </c:marker>
          <c:dLbls>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tx2"/>
                    </a:solidFill>
                    <a:latin typeface="Calibri"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Sheet1!$E$2:$E$6</c:f>
              <c:numCache>
                <c:formatCode>##,##0</c:formatCode>
                <c:ptCount val="5"/>
                <c:pt idx="0">
                  <c:v>7816</c:v>
                </c:pt>
                <c:pt idx="1">
                  <c:v>8356</c:v>
                </c:pt>
                <c:pt idx="2">
                  <c:v>8456</c:v>
                </c:pt>
                <c:pt idx="3">
                  <c:v>8610</c:v>
                </c:pt>
                <c:pt idx="4">
                  <c:v>8596</c:v>
                </c:pt>
              </c:numCache>
            </c:numRef>
          </c:val>
          <c:smooth val="0"/>
          <c:extLst xmlns:c16r2="http://schemas.microsoft.com/office/drawing/2015/06/chart">
            <c:ext xmlns:c16="http://schemas.microsoft.com/office/drawing/2014/chart" uri="{C3380CC4-5D6E-409C-BE32-E72D297353CC}">
              <c16:uniqueId val="{00000003-05F2-4EAC-9110-FA248C636B65}"/>
            </c:ext>
          </c:extLst>
        </c:ser>
        <c:ser>
          <c:idx val="4"/>
          <c:order val="4"/>
          <c:tx>
            <c:strRef>
              <c:f>Sheet1!$F$1</c:f>
              <c:strCache>
                <c:ptCount val="1"/>
                <c:pt idx="0">
                  <c:v>District-wide</c:v>
                </c:pt>
              </c:strCache>
            </c:strRef>
          </c:tx>
          <c:spPr>
            <a:ln w="28575" cap="rnd" cmpd="sng" algn="ctr">
              <a:solidFill>
                <a:schemeClr val="accent5">
                  <a:shade val="95000"/>
                  <a:satMod val="105000"/>
                </a:schemeClr>
              </a:solidFill>
              <a:prstDash val="solid"/>
              <a:round/>
            </a:ln>
            <a:effectLst/>
          </c:spPr>
          <c:marker>
            <c:spPr>
              <a:noFill/>
              <a:ln w="9525" cap="flat" cmpd="sng" algn="ctr">
                <a:solidFill>
                  <a:schemeClr val="accent5">
                    <a:shade val="95000"/>
                    <a:satMod val="105000"/>
                  </a:schemeClr>
                </a:solidFill>
                <a:prstDash val="solid"/>
                <a:round/>
              </a:ln>
              <a:effectLst/>
            </c:spPr>
          </c:marker>
          <c:dLbls>
            <c:dLbl>
              <c:idx val="4"/>
              <c:layout>
                <c:manualLayout>
                  <c:x val="-4.1192064367750213E-2"/>
                  <c:y val="-6.11920723531849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B1-47A2-B846-31488D466A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Sheet1!$A$2:$A$6</c:f>
              <c:strCache>
                <c:ptCount val="5"/>
                <c:pt idx="0">
                  <c:v>Fall  2012</c:v>
                </c:pt>
                <c:pt idx="1">
                  <c:v>Fall  2013</c:v>
                </c:pt>
                <c:pt idx="2">
                  <c:v>Fall  2014</c:v>
                </c:pt>
                <c:pt idx="3">
                  <c:v>Fall  2015</c:v>
                </c:pt>
                <c:pt idx="4">
                  <c:v>Fall  2016</c:v>
                </c:pt>
              </c:strCache>
            </c:strRef>
          </c:cat>
          <c:val>
            <c:numRef>
              <c:f>Sheet1!$F$2:$F$6</c:f>
              <c:numCache>
                <c:formatCode>##,##0</c:formatCode>
                <c:ptCount val="5"/>
                <c:pt idx="0">
                  <c:v>14018</c:v>
                </c:pt>
                <c:pt idx="1">
                  <c:v>14466</c:v>
                </c:pt>
                <c:pt idx="2">
                  <c:v>14817</c:v>
                </c:pt>
                <c:pt idx="3">
                  <c:v>14718</c:v>
                </c:pt>
                <c:pt idx="4">
                  <c:v>13917</c:v>
                </c:pt>
              </c:numCache>
            </c:numRef>
          </c:val>
          <c:smooth val="0"/>
          <c:extLst xmlns:c16r2="http://schemas.microsoft.com/office/drawing/2015/06/chart">
            <c:ext xmlns:c16="http://schemas.microsoft.com/office/drawing/2014/chart" uri="{C3380CC4-5D6E-409C-BE32-E72D297353CC}">
              <c16:uniqueId val="{00000004-05F2-4EAC-9110-FA248C636B65}"/>
            </c:ext>
          </c:extLst>
        </c:ser>
        <c:dLbls>
          <c:dLblPos val="t"/>
          <c:showLegendKey val="0"/>
          <c:showVal val="1"/>
          <c:showCatName val="0"/>
          <c:showSerName val="0"/>
          <c:showPercent val="0"/>
          <c:showBubbleSize val="0"/>
        </c:dLbls>
        <c:marker val="1"/>
        <c:smooth val="0"/>
        <c:axId val="239947920"/>
        <c:axId val="240199208"/>
      </c:lineChart>
      <c:catAx>
        <c:axId val="23994792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0199208"/>
        <c:crosses val="autoZero"/>
        <c:auto val="1"/>
        <c:lblAlgn val="ctr"/>
        <c:lblOffset val="100"/>
        <c:noMultiLvlLbl val="0"/>
      </c:catAx>
      <c:valAx>
        <c:axId val="240199208"/>
        <c:scaling>
          <c:orientation val="minMax"/>
        </c:scaling>
        <c:delete val="0"/>
        <c:axPos val="l"/>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39947920"/>
        <c:crosses val="autoZero"/>
        <c:crossBetween val="between"/>
      </c:valAx>
      <c:spPr>
        <a:solidFill>
          <a:schemeClr val="bg1"/>
        </a:solidFill>
        <a:ln>
          <a:noFill/>
        </a:ln>
        <a:effectLst/>
      </c:spPr>
    </c:plotArea>
    <c:legend>
      <c:legendPos val="r"/>
      <c:layout>
        <c:manualLayout>
          <c:xMode val="edge"/>
          <c:yMode val="edge"/>
          <c:x val="0.82520344192644712"/>
          <c:y val="0.29075487496578267"/>
          <c:w val="0.15422237825367371"/>
          <c:h val="0.55984251968503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en-US" sz="1050" b="1">
                <a:effectLst/>
                <a:latin typeface="Calibri" pitchFamily="34" charset="0"/>
              </a:rPr>
              <a:t>Online Only Students Headcount</a:t>
            </a:r>
            <a:endParaRPr lang="en-US" sz="1050">
              <a:effectLst/>
              <a:latin typeface="Calibri" pitchFamily="34" charset="0"/>
            </a:endParaRPr>
          </a:p>
        </c:rich>
      </c:tx>
      <c:layout>
        <c:manualLayout>
          <c:xMode val="edge"/>
          <c:yMode val="edge"/>
          <c:x val="0.37832871852556893"/>
          <c:y val="0"/>
        </c:manualLayout>
      </c:layout>
      <c:overlay val="1"/>
      <c:spPr>
        <a:noFill/>
        <a:ln>
          <a:noFill/>
        </a:ln>
        <a:effectLst/>
      </c:spPr>
    </c:title>
    <c:autoTitleDeleted val="0"/>
    <c:plotArea>
      <c:layout>
        <c:manualLayout>
          <c:layoutTarget val="inner"/>
          <c:xMode val="edge"/>
          <c:yMode val="edge"/>
          <c:x val="7.2169155085122561E-2"/>
          <c:y val="0.11052830952863114"/>
          <c:w val="0.73793956083358436"/>
          <c:h val="0.77557206191492523"/>
        </c:manualLayout>
      </c:layout>
      <c:lineChart>
        <c:grouping val="standard"/>
        <c:varyColors val="0"/>
        <c:ser>
          <c:idx val="0"/>
          <c:order val="0"/>
          <c:tx>
            <c:strRef>
              <c:f>Sheet1!$B$1</c:f>
              <c:strCache>
                <c:ptCount val="1"/>
                <c:pt idx="0">
                  <c:v>Coastline</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dLbls>
            <c:dLbl>
              <c:idx val="0"/>
              <c:layout>
                <c:manualLayout>
                  <c:x val="-1.0928961748633862E-2"/>
                  <c:y val="1.5325670498084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31-488E-B5CB-AAD7BAB59C83}"/>
                </c:ext>
                <c:ext xmlns:c15="http://schemas.microsoft.com/office/drawing/2012/chart" uri="{CE6537A1-D6FC-4f65-9D91-7224C49458BB}"/>
              </c:extLst>
            </c:dLbl>
            <c:dLbl>
              <c:idx val="1"/>
              <c:layout>
                <c:manualLayout>
                  <c:x val="-3.2786885245901676E-2"/>
                  <c:y val="-4.0868454661558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31-488E-B5CB-AAD7BAB59C83}"/>
                </c:ext>
                <c:ext xmlns:c15="http://schemas.microsoft.com/office/drawing/2012/chart" uri="{CE6537A1-D6FC-4f65-9D91-7224C49458BB}"/>
              </c:extLst>
            </c:dLbl>
            <c:dLbl>
              <c:idx val="2"/>
              <c:layout>
                <c:manualLayout>
                  <c:x val="-4.735883424408021E-2"/>
                  <c:y val="-3.0651340996168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31-488E-B5CB-AAD7BAB59C83}"/>
                </c:ext>
                <c:ext xmlns:c15="http://schemas.microsoft.com/office/drawing/2012/chart" uri="{CE6537A1-D6FC-4f65-9D91-7224C49458BB}"/>
              </c:extLst>
            </c:dLbl>
            <c:dLbl>
              <c:idx val="3"/>
              <c:layout>
                <c:manualLayout>
                  <c:x val="-3.4608378870674021E-2"/>
                  <c:y val="-4.59770114942528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31-488E-B5CB-AAD7BAB59C83}"/>
                </c:ext>
                <c:ext xmlns:c15="http://schemas.microsoft.com/office/drawing/2012/chart" uri="{CE6537A1-D6FC-4f65-9D91-7224C49458BB}"/>
              </c:extLst>
            </c:dLbl>
            <c:dLbl>
              <c:idx val="4"/>
              <c:layout>
                <c:manualLayout>
                  <c:x val="-2.5500910746812388E-2"/>
                  <c:y val="-6.05143721633888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60-4D00-83F7-0D18437780E0}"/>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tx2">
                        <a:lumMod val="60000"/>
                        <a:lumOff val="40000"/>
                      </a:schemeClr>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c:formatCode>
                <c:ptCount val="5"/>
                <c:pt idx="0">
                  <c:v>3145</c:v>
                </c:pt>
                <c:pt idx="1">
                  <c:v>3476</c:v>
                </c:pt>
                <c:pt idx="2">
                  <c:v>3663</c:v>
                </c:pt>
                <c:pt idx="3">
                  <c:v>3829</c:v>
                </c:pt>
                <c:pt idx="4">
                  <c:v>4072</c:v>
                </c:pt>
              </c:numCache>
            </c:numRef>
          </c:val>
          <c:smooth val="0"/>
          <c:extLst xmlns:c16r2="http://schemas.microsoft.com/office/drawing/2015/06/chart">
            <c:ext xmlns:c16="http://schemas.microsoft.com/office/drawing/2014/chart" uri="{C3380CC4-5D6E-409C-BE32-E72D297353CC}">
              <c16:uniqueId val="{00000004-8D31-488E-B5CB-AAD7BAB59C83}"/>
            </c:ext>
          </c:extLst>
        </c:ser>
        <c:ser>
          <c:idx val="1"/>
          <c:order val="1"/>
          <c:tx>
            <c:strRef>
              <c:f>Sheet1!$C$1</c:f>
              <c:strCache>
                <c:ptCount val="1"/>
                <c:pt idx="0">
                  <c:v>CCC Mil</c:v>
                </c:pt>
              </c:strCache>
            </c:strRef>
          </c:tx>
          <c:spPr>
            <a:ln w="28575" cap="rnd" cmpd="sng" algn="ctr">
              <a:solidFill>
                <a:schemeClr val="accent2">
                  <a:shade val="95000"/>
                  <a:satMod val="105000"/>
                </a:schemeClr>
              </a:solidFill>
              <a:prstDash val="solid"/>
              <a:round/>
            </a:ln>
            <a:effectLst/>
          </c:spPr>
          <c:marker>
            <c:spPr>
              <a:solidFill>
                <a:schemeClr val="accent2"/>
              </a:solidFill>
              <a:ln w="9525" cap="flat" cmpd="sng" algn="ctr">
                <a:solidFill>
                  <a:schemeClr val="accent2">
                    <a:shade val="95000"/>
                    <a:satMod val="105000"/>
                  </a:schemeClr>
                </a:solidFill>
                <a:prstDash val="solid"/>
                <a:round/>
              </a:ln>
              <a:effectLst/>
            </c:spPr>
          </c:marker>
          <c:dLbls>
            <c:dLbl>
              <c:idx val="0"/>
              <c:layout>
                <c:manualLayout>
                  <c:x val="-6.1930783242258654E-2"/>
                  <c:y val="2.43439312899805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31-488E-B5CB-AAD7BAB59C83}"/>
                </c:ext>
                <c:ext xmlns:c15="http://schemas.microsoft.com/office/drawing/2012/chart" uri="{CE6537A1-D6FC-4f65-9D91-7224C49458BB}"/>
              </c:extLst>
            </c:dLbl>
            <c:dLbl>
              <c:idx val="1"/>
              <c:layout>
                <c:manualLayout>
                  <c:x val="-2.003642987249548E-2"/>
                  <c:y val="-4.5977011494252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31-488E-B5CB-AAD7BAB59C83}"/>
                </c:ext>
                <c:ext xmlns:c15="http://schemas.microsoft.com/office/drawing/2012/chart" uri="{CE6537A1-D6FC-4f65-9D91-7224C49458BB}"/>
              </c:extLst>
            </c:dLbl>
            <c:dLbl>
              <c:idx val="2"/>
              <c:layout>
                <c:manualLayout>
                  <c:x val="-1.0928961748633947E-2"/>
                  <c:y val="-4.0868454661558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31-488E-B5CB-AAD7BAB59C83}"/>
                </c:ext>
                <c:ext xmlns:c15="http://schemas.microsoft.com/office/drawing/2012/chart" uri="{CE6537A1-D6FC-4f65-9D91-7224C49458BB}"/>
              </c:extLst>
            </c:dLbl>
            <c:dLbl>
              <c:idx val="3"/>
              <c:layout>
                <c:manualLayout>
                  <c:x val="-1.0928961748634013E-2"/>
                  <c:y val="-3.57598978288633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31-488E-B5CB-AAD7BAB59C83}"/>
                </c:ext>
                <c:ext xmlns:c15="http://schemas.microsoft.com/office/drawing/2012/chart" uri="{CE6537A1-D6FC-4f65-9D91-7224C49458BB}"/>
              </c:extLst>
            </c:dLbl>
            <c:dLbl>
              <c:idx val="4"/>
              <c:layout>
                <c:manualLayout>
                  <c:x val="-2.0036429872495445E-2"/>
                  <c:y val="-7.26172465960666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60-4D00-83F7-0D18437780E0}"/>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rgbClr val="C00000"/>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c:formatCode>
                <c:ptCount val="5"/>
                <c:pt idx="0">
                  <c:v>2578</c:v>
                </c:pt>
                <c:pt idx="1">
                  <c:v>2426</c:v>
                </c:pt>
                <c:pt idx="2">
                  <c:v>2586</c:v>
                </c:pt>
                <c:pt idx="3">
                  <c:v>2406</c:v>
                </c:pt>
                <c:pt idx="4">
                  <c:v>2065</c:v>
                </c:pt>
              </c:numCache>
            </c:numRef>
          </c:val>
          <c:smooth val="0"/>
          <c:extLst xmlns:c16r2="http://schemas.microsoft.com/office/drawing/2015/06/chart">
            <c:ext xmlns:c16="http://schemas.microsoft.com/office/drawing/2014/chart" uri="{C3380CC4-5D6E-409C-BE32-E72D297353CC}">
              <c16:uniqueId val="{00000009-8D31-488E-B5CB-AAD7BAB59C83}"/>
            </c:ext>
          </c:extLst>
        </c:ser>
        <c:ser>
          <c:idx val="2"/>
          <c:order val="2"/>
          <c:tx>
            <c:strRef>
              <c:f>Sheet1!$D$1</c:f>
              <c:strCache>
                <c:ptCount val="1"/>
                <c:pt idx="0">
                  <c:v>Golden West</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dLbls>
            <c:dLbl>
              <c:idx val="4"/>
              <c:layout>
                <c:manualLayout>
                  <c:x val="-1.0277813633951494E-2"/>
                  <c:y val="-2.95462613315544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60-4D00-83F7-0D18437780E0}"/>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accent3"/>
                    </a:solidFill>
                    <a:latin typeface="Calibri" pitchFamily="34"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Sheet1!$D$2:$D$6</c:f>
              <c:numCache>
                <c:formatCode>#,##0</c:formatCode>
                <c:ptCount val="5"/>
                <c:pt idx="0">
                  <c:v>1029</c:v>
                </c:pt>
                <c:pt idx="1">
                  <c:v>1187</c:v>
                </c:pt>
                <c:pt idx="2">
                  <c:v>1263</c:v>
                </c:pt>
                <c:pt idx="3">
                  <c:v>1255</c:v>
                </c:pt>
                <c:pt idx="4">
                  <c:v>1204</c:v>
                </c:pt>
              </c:numCache>
            </c:numRef>
          </c:val>
          <c:smooth val="0"/>
          <c:extLst xmlns:c16r2="http://schemas.microsoft.com/office/drawing/2015/06/chart">
            <c:ext xmlns:c16="http://schemas.microsoft.com/office/drawing/2014/chart" uri="{C3380CC4-5D6E-409C-BE32-E72D297353CC}">
              <c16:uniqueId val="{0000000A-8D31-488E-B5CB-AAD7BAB59C83}"/>
            </c:ext>
          </c:extLst>
        </c:ser>
        <c:ser>
          <c:idx val="3"/>
          <c:order val="3"/>
          <c:tx>
            <c:strRef>
              <c:f>Sheet1!$E$1</c:f>
              <c:strCache>
                <c:ptCount val="1"/>
                <c:pt idx="0">
                  <c:v>Orange Coast</c:v>
                </c:pt>
              </c:strCache>
            </c:strRef>
          </c:tx>
          <c:spPr>
            <a:ln w="28575" cap="rnd" cmpd="sng" algn="ctr">
              <a:solidFill>
                <a:schemeClr val="accent6"/>
              </a:solidFill>
              <a:prstDash val="solid"/>
              <a:round/>
            </a:ln>
            <a:effectLst/>
          </c:spPr>
          <c:marker>
            <c:symbol val="x"/>
            <c:size val="7"/>
            <c:spPr>
              <a:noFill/>
              <a:ln w="9525" cap="flat" cmpd="sng" algn="ctr">
                <a:solidFill>
                  <a:schemeClr val="accent6"/>
                </a:solidFill>
                <a:prstDash val="solid"/>
                <a:round/>
              </a:ln>
              <a:effectLst/>
            </c:spPr>
          </c:marker>
          <c:dLbls>
            <c:dLbl>
              <c:idx val="4"/>
              <c:layout>
                <c:manualLayout>
                  <c:x val="-6.5255367669205281E-3"/>
                  <c:y val="1.74433868988765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60-4D00-83F7-0D18437780E0}"/>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accent6"/>
                    </a:solidFill>
                    <a:latin typeface="Calibri" pitchFamily="34" charset="0"/>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Sheet1!$E$2:$E$6</c:f>
              <c:numCache>
                <c:formatCode>#,##0</c:formatCode>
                <c:ptCount val="5"/>
                <c:pt idx="0" formatCode="General">
                  <c:v>535</c:v>
                </c:pt>
                <c:pt idx="1">
                  <c:v>603</c:v>
                </c:pt>
                <c:pt idx="2">
                  <c:v>581</c:v>
                </c:pt>
                <c:pt idx="3">
                  <c:v>568</c:v>
                </c:pt>
                <c:pt idx="4">
                  <c:v>597</c:v>
                </c:pt>
              </c:numCache>
            </c:numRef>
          </c:val>
          <c:smooth val="0"/>
          <c:extLst xmlns:c16r2="http://schemas.microsoft.com/office/drawing/2015/06/chart">
            <c:ext xmlns:c16="http://schemas.microsoft.com/office/drawing/2014/chart" uri="{C3380CC4-5D6E-409C-BE32-E72D297353CC}">
              <c16:uniqueId val="{0000000B-8D31-488E-B5CB-AAD7BAB59C83}"/>
            </c:ext>
          </c:extLst>
        </c:ser>
        <c:ser>
          <c:idx val="4"/>
          <c:order val="4"/>
          <c:tx>
            <c:strRef>
              <c:f>Sheet1!$F$1</c:f>
              <c:strCache>
                <c:ptCount val="1"/>
                <c:pt idx="0">
                  <c:v>District-wide</c:v>
                </c:pt>
              </c:strCache>
            </c:strRef>
          </c:tx>
          <c:spPr>
            <a:ln w="28575" cap="rnd" cmpd="sng" algn="ctr">
              <a:solidFill>
                <a:schemeClr val="accent5">
                  <a:shade val="95000"/>
                  <a:satMod val="105000"/>
                </a:schemeClr>
              </a:solidFill>
              <a:prstDash val="solid"/>
              <a:round/>
            </a:ln>
            <a:effectLst/>
          </c:spPr>
          <c:marker>
            <c:symbol val="x"/>
            <c:size val="7"/>
            <c:spPr>
              <a:noFill/>
              <a:ln w="9525" cap="flat" cmpd="sng" algn="ctr">
                <a:solidFill>
                  <a:schemeClr val="accent5">
                    <a:shade val="95000"/>
                    <a:satMod val="105000"/>
                  </a:schemeClr>
                </a:solidFill>
                <a:prstDash val="solid"/>
                <a:round/>
              </a:ln>
              <a:effectLst/>
            </c:spPr>
          </c:marker>
          <c:dLbls>
            <c:dLbl>
              <c:idx val="0"/>
              <c:layout>
                <c:manualLayout>
                  <c:x val="-2.2376977467980452E-2"/>
                  <c:y val="-5.1085568326947661E-2"/>
                </c:manualLayout>
              </c:layout>
              <c:dLblPos val="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C-8D31-488E-B5CB-AAD7BAB59C83}"/>
                </c:ext>
                <c:ext xmlns:c15="http://schemas.microsoft.com/office/drawing/2012/chart" uri="{CE6537A1-D6FC-4f65-9D91-7224C49458BB}"/>
              </c:extLst>
            </c:dLbl>
            <c:dLbl>
              <c:idx val="1"/>
              <c:layout>
                <c:manualLayout>
                  <c:x val="-4.0591913715703573E-2"/>
                  <c:y val="-5.108556832694764E-2"/>
                </c:manualLayout>
              </c:layout>
              <c:dLblPos val="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D-8D31-488E-B5CB-AAD7BAB59C83}"/>
                </c:ext>
                <c:ext xmlns:c15="http://schemas.microsoft.com/office/drawing/2012/chart" uri="{CE6537A1-D6FC-4f65-9D91-7224C49458BB}"/>
              </c:extLst>
            </c:dLbl>
            <c:dLbl>
              <c:idx val="2"/>
              <c:layout>
                <c:manualLayout>
                  <c:x val="-3.6948926466158945E-2"/>
                  <c:y val="-3.5759897828863393E-2"/>
                </c:manualLayout>
              </c:layout>
              <c:dLblPos val="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E-8D31-488E-B5CB-AAD7BAB59C83}"/>
                </c:ext>
                <c:ext xmlns:c15="http://schemas.microsoft.com/office/drawing/2012/chart" uri="{CE6537A1-D6FC-4f65-9D91-7224C49458BB}"/>
              </c:extLst>
            </c:dLbl>
            <c:dLbl>
              <c:idx val="3"/>
              <c:layout>
                <c:manualLayout>
                  <c:x val="-5.5163862713882079E-2"/>
                  <c:y val="-4.5977011494252873E-2"/>
                </c:manualLayout>
              </c:layout>
              <c:dLblPos val="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F-8D31-488E-B5CB-AAD7BAB59C83}"/>
                </c:ext>
                <c:ext xmlns:c15="http://schemas.microsoft.com/office/drawing/2012/chart" uri="{CE6537A1-D6FC-4f65-9D91-7224C49458BB}"/>
              </c:extLst>
            </c:dLbl>
            <c:dLbl>
              <c:idx val="4"/>
              <c:layout>
                <c:manualLayout>
                  <c:x val="-2.7841458342297377E-2"/>
                  <c:y val="-5.6194125159642422E-2"/>
                </c:manualLayout>
              </c:layout>
              <c:dLblPos val="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10-8D31-488E-B5CB-AAD7BAB59C83}"/>
                </c:ext>
                <c:ext xmlns:c15="http://schemas.microsoft.com/office/drawing/2012/chart" uri="{CE6537A1-D6FC-4f65-9D91-7224C49458BB}"/>
              </c:extLst>
            </c:dLbl>
            <c:dLbl>
              <c:idx val="5"/>
              <c:layout>
                <c:manualLayout>
                  <c:x val="-2.7841458342297509E-2"/>
                  <c:y val="-4.8411497730711045E-2"/>
                </c:manualLayout>
              </c:layout>
              <c:dLblPos val="r"/>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11-8D31-488E-B5CB-AAD7BAB59C83}"/>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1" i="0" u="none" strike="noStrike" kern="1200" baseline="0">
                    <a:solidFill>
                      <a:schemeClr val="tx2"/>
                    </a:solidFill>
                    <a:latin typeface="Calibri" pitchFamily="34" charset="0"/>
                    <a:ea typeface="+mn-ea"/>
                    <a:cs typeface="+mn-cs"/>
                  </a:defRPr>
                </a:pPr>
                <a:endParaRPr lang="en-US"/>
              </a:p>
            </c:txPr>
            <c:dLblPos val="l"/>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Fall  2012</c:v>
                </c:pt>
                <c:pt idx="1">
                  <c:v>Fall  2013</c:v>
                </c:pt>
                <c:pt idx="2">
                  <c:v>Fall  2014</c:v>
                </c:pt>
                <c:pt idx="3">
                  <c:v>Fall  2015</c:v>
                </c:pt>
                <c:pt idx="4">
                  <c:v>Fall  2016</c:v>
                </c:pt>
              </c:strCache>
            </c:strRef>
          </c:cat>
          <c:val>
            <c:numRef>
              <c:f>Sheet1!$F$2:$F$6</c:f>
              <c:numCache>
                <c:formatCode>#,##0</c:formatCode>
                <c:ptCount val="5"/>
                <c:pt idx="0">
                  <c:v>5723</c:v>
                </c:pt>
                <c:pt idx="1">
                  <c:v>5902</c:v>
                </c:pt>
                <c:pt idx="2">
                  <c:v>6249</c:v>
                </c:pt>
                <c:pt idx="3">
                  <c:v>6235</c:v>
                </c:pt>
                <c:pt idx="4">
                  <c:v>6137</c:v>
                </c:pt>
              </c:numCache>
            </c:numRef>
          </c:val>
          <c:smooth val="0"/>
          <c:extLst xmlns:c16r2="http://schemas.microsoft.com/office/drawing/2015/06/chart">
            <c:ext xmlns:c16="http://schemas.microsoft.com/office/drawing/2014/chart" uri="{C3380CC4-5D6E-409C-BE32-E72D297353CC}">
              <c16:uniqueId val="{00000012-8D31-488E-B5CB-AAD7BAB59C83}"/>
            </c:ext>
          </c:extLst>
        </c:ser>
        <c:dLbls>
          <c:showLegendKey val="0"/>
          <c:showVal val="1"/>
          <c:showCatName val="0"/>
          <c:showSerName val="0"/>
          <c:showPercent val="0"/>
          <c:showBubbleSize val="0"/>
        </c:dLbls>
        <c:marker val="1"/>
        <c:smooth val="0"/>
        <c:axId val="240199600"/>
        <c:axId val="240199992"/>
      </c:lineChart>
      <c:catAx>
        <c:axId val="24019960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0199992"/>
        <c:crosses val="autoZero"/>
        <c:auto val="1"/>
        <c:lblAlgn val="ctr"/>
        <c:lblOffset val="100"/>
        <c:noMultiLvlLbl val="0"/>
      </c:catAx>
      <c:valAx>
        <c:axId val="240199992"/>
        <c:scaling>
          <c:orientation val="minMax"/>
        </c:scaling>
        <c:delete val="0"/>
        <c:axPos val="l"/>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0199600"/>
        <c:crosses val="autoZero"/>
        <c:crossBetween val="between"/>
        <c:majorUnit val="1000"/>
      </c:valAx>
      <c:spPr>
        <a:solidFill>
          <a:schemeClr val="bg1"/>
        </a:solidFill>
        <a:ln>
          <a:noFill/>
        </a:ln>
        <a:effectLst/>
      </c:spPr>
    </c:plotArea>
    <c:legend>
      <c:legendPos val="r"/>
      <c:layout>
        <c:manualLayout>
          <c:xMode val="edge"/>
          <c:yMode val="edge"/>
          <c:x val="0.84478902773022935"/>
          <c:y val="0.26521213583934194"/>
          <c:w val="0.15352390733766974"/>
          <c:h val="0.4618879536609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50">
                <a:latin typeface="Calibri" pitchFamily="34" charset="0"/>
              </a:defRPr>
            </a:pPr>
            <a:r>
              <a:rPr lang="en-US" sz="1050" b="1" i="0" u="heavy" strike="noStrike" baseline="0">
                <a:solidFill>
                  <a:schemeClr val="accent1"/>
                </a:solidFill>
                <a:effectLst/>
                <a:uFill>
                  <a:solidFill>
                    <a:schemeClr val="accent1"/>
                  </a:solidFill>
                </a:uFill>
              </a:rPr>
              <a:t>Coastline</a:t>
            </a:r>
            <a:r>
              <a:rPr lang="en-US" sz="1050" b="1" i="0" u="none" strike="noStrike" baseline="0">
                <a:effectLst/>
              </a:rPr>
              <a:t>  Credit Student Ethnic Composition</a:t>
            </a:r>
            <a:r>
              <a:rPr lang="en-US" sz="1050">
                <a:latin typeface="Calibri" pitchFamily="34" charset="0"/>
              </a:rPr>
              <a:t> </a:t>
            </a:r>
          </a:p>
        </c:rich>
      </c:tx>
      <c:layout>
        <c:manualLayout>
          <c:xMode val="edge"/>
          <c:yMode val="edge"/>
          <c:x val="0.30615604322836165"/>
          <c:y val="0"/>
        </c:manualLayout>
      </c:layout>
      <c:overlay val="1"/>
    </c:title>
    <c:autoTitleDeleted val="0"/>
    <c:plotArea>
      <c:layout>
        <c:manualLayout>
          <c:layoutTarget val="inner"/>
          <c:xMode val="edge"/>
          <c:yMode val="edge"/>
          <c:x val="5.3984129192281856E-2"/>
          <c:y val="8.6076427946506689E-2"/>
          <c:w val="0.94601586649341607"/>
          <c:h val="0.66808864081863184"/>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Sheet1!$B$2:$F$2</c:f>
              <c:numCache>
                <c:formatCode>0.0%</c:formatCode>
                <c:ptCount val="5"/>
                <c:pt idx="0">
                  <c:v>0.28837406114461017</c:v>
                </c:pt>
                <c:pt idx="1">
                  <c:v>0.21337141648154026</c:v>
                </c:pt>
                <c:pt idx="2">
                  <c:v>0.15423675023801967</c:v>
                </c:pt>
                <c:pt idx="3">
                  <c:v>3.2582249021474663E-2</c:v>
                </c:pt>
                <c:pt idx="4">
                  <c:v>0.31143552311435524</c:v>
                </c:pt>
              </c:numCache>
            </c:numRef>
          </c:val>
          <c:extLst xmlns:c16r2="http://schemas.microsoft.com/office/drawing/2015/06/chart">
            <c:ext xmlns:c16="http://schemas.microsoft.com/office/drawing/2014/chart" uri="{C3380CC4-5D6E-409C-BE32-E72D297353CC}">
              <c16:uniqueId val="{00000000-20A5-4C34-A038-097CA967DEDF}"/>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Sheet1!$B$3:$F$3</c:f>
              <c:numCache>
                <c:formatCode>0.0%</c:formatCode>
                <c:ptCount val="5"/>
                <c:pt idx="0">
                  <c:v>0.26761106292762843</c:v>
                </c:pt>
                <c:pt idx="1">
                  <c:v>0.23089524910860557</c:v>
                </c:pt>
                <c:pt idx="2">
                  <c:v>0.15071793389226174</c:v>
                </c:pt>
                <c:pt idx="3">
                  <c:v>3.6041245061193022E-2</c:v>
                </c:pt>
                <c:pt idx="4">
                  <c:v>0.31473450901031125</c:v>
                </c:pt>
              </c:numCache>
            </c:numRef>
          </c:val>
          <c:extLst xmlns:c16r2="http://schemas.microsoft.com/office/drawing/2015/06/chart">
            <c:ext xmlns:c16="http://schemas.microsoft.com/office/drawing/2014/chart" uri="{C3380CC4-5D6E-409C-BE32-E72D297353CC}">
              <c16:uniqueId val="{00000001-20A5-4C34-A038-097CA967DEDF}"/>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Sheet1!$B$4:$F$4</c:f>
              <c:numCache>
                <c:formatCode>0.0%</c:formatCode>
                <c:ptCount val="5"/>
                <c:pt idx="0">
                  <c:v>0.23575604223017188</c:v>
                </c:pt>
                <c:pt idx="1">
                  <c:v>0.26262978797661635</c:v>
                </c:pt>
                <c:pt idx="2">
                  <c:v>0.15216822266817903</c:v>
                </c:pt>
                <c:pt idx="3">
                  <c:v>3.8216560509554139E-2</c:v>
                </c:pt>
                <c:pt idx="4">
                  <c:v>0.31122938661547855</c:v>
                </c:pt>
              </c:numCache>
            </c:numRef>
          </c:val>
          <c:extLst xmlns:c16r2="http://schemas.microsoft.com/office/drawing/2015/06/chart">
            <c:ext xmlns:c16="http://schemas.microsoft.com/office/drawing/2014/chart" uri="{C3380CC4-5D6E-409C-BE32-E72D297353CC}">
              <c16:uniqueId val="{00000002-20A5-4C34-A038-097CA967DEDF}"/>
            </c:ext>
          </c:extLst>
        </c:ser>
        <c:ser>
          <c:idx val="3"/>
          <c:order val="3"/>
          <c:tx>
            <c:strRef>
              <c:f>Sheet1!$A$5</c:f>
              <c:strCache>
                <c:ptCount val="1"/>
                <c:pt idx="0">
                  <c:v>Fall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Sheet1!$B$5:$F$5</c:f>
              <c:numCache>
                <c:formatCode>0.0%</c:formatCode>
                <c:ptCount val="5"/>
                <c:pt idx="0">
                  <c:v>0.22878069797501077</c:v>
                </c:pt>
                <c:pt idx="1">
                  <c:v>0.2816027574321413</c:v>
                </c:pt>
                <c:pt idx="2">
                  <c:v>0.14812580784144766</c:v>
                </c:pt>
                <c:pt idx="3">
                  <c:v>4.1878500646273159E-2</c:v>
                </c:pt>
                <c:pt idx="4">
                  <c:v>0.29961223610512711</c:v>
                </c:pt>
              </c:numCache>
            </c:numRef>
          </c:val>
          <c:extLst xmlns:c16r2="http://schemas.microsoft.com/office/drawing/2015/06/chart">
            <c:ext xmlns:c16="http://schemas.microsoft.com/office/drawing/2014/chart" uri="{C3380CC4-5D6E-409C-BE32-E72D297353CC}">
              <c16:uniqueId val="{00000003-20A5-4C34-A038-097CA967DEDF}"/>
            </c:ext>
          </c:extLst>
        </c:ser>
        <c:ser>
          <c:idx val="4"/>
          <c:order val="4"/>
          <c:tx>
            <c:strRef>
              <c:f>Sheet1!$A$6</c:f>
              <c:strCache>
                <c:ptCount val="1"/>
                <c:pt idx="0">
                  <c:v>Fall  16</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Sheet1!$B$6:$F$6</c:f>
              <c:numCache>
                <c:formatCode>0.0%</c:formatCode>
                <c:ptCount val="5"/>
                <c:pt idx="0">
                  <c:v>0.222</c:v>
                </c:pt>
                <c:pt idx="1">
                  <c:v>0.29399999999999998</c:v>
                </c:pt>
                <c:pt idx="2">
                  <c:v>0.13600000000000001</c:v>
                </c:pt>
                <c:pt idx="3">
                  <c:v>4.2999999999999997E-2</c:v>
                </c:pt>
                <c:pt idx="4">
                  <c:v>0.30499999999999999</c:v>
                </c:pt>
              </c:numCache>
            </c:numRef>
          </c:val>
          <c:extLst xmlns:c16r2="http://schemas.microsoft.com/office/drawing/2015/06/chart">
            <c:ext xmlns:c16="http://schemas.microsoft.com/office/drawing/2014/chart" uri="{C3380CC4-5D6E-409C-BE32-E72D297353CC}">
              <c16:uniqueId val="{00000004-20A5-4C34-A038-097CA967DEDF}"/>
            </c:ext>
          </c:extLst>
        </c:ser>
        <c:dLbls>
          <c:showLegendKey val="0"/>
          <c:showVal val="0"/>
          <c:showCatName val="0"/>
          <c:showSerName val="0"/>
          <c:showPercent val="0"/>
          <c:showBubbleSize val="0"/>
        </c:dLbls>
        <c:gapWidth val="150"/>
        <c:axId val="240200384"/>
        <c:axId val="240200776"/>
      </c:barChart>
      <c:catAx>
        <c:axId val="240200384"/>
        <c:scaling>
          <c:orientation val="minMax"/>
        </c:scaling>
        <c:delete val="0"/>
        <c:axPos val="b"/>
        <c:numFmt formatCode="General" sourceLinked="0"/>
        <c:majorTickMark val="out"/>
        <c:minorTickMark val="none"/>
        <c:tickLblPos val="nextTo"/>
        <c:crossAx val="240200776"/>
        <c:crosses val="autoZero"/>
        <c:auto val="1"/>
        <c:lblAlgn val="ctr"/>
        <c:lblOffset val="100"/>
        <c:noMultiLvlLbl val="0"/>
      </c:catAx>
      <c:valAx>
        <c:axId val="240200776"/>
        <c:scaling>
          <c:orientation val="minMax"/>
          <c:max val="0.5"/>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0200384"/>
        <c:crosses val="autoZero"/>
        <c:crossBetween val="between"/>
      </c:valAx>
      <c:spPr>
        <a:ln>
          <a:noFill/>
        </a:ln>
      </c:spPr>
    </c:plotArea>
    <c:legend>
      <c:legendPos val="b"/>
      <c:layout>
        <c:manualLayout>
          <c:xMode val="edge"/>
          <c:yMode val="edge"/>
          <c:x val="0.24091954022988507"/>
          <c:y val="0.9082893119372738"/>
          <c:w val="0.46241259842519683"/>
          <c:h val="9.1710688062726337E-2"/>
        </c:manualLayout>
      </c:layout>
      <c:overlay val="1"/>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100" b="1" i="0" u="heavy" strike="noStrike" baseline="0">
                <a:solidFill>
                  <a:schemeClr val="accent3">
                    <a:lumMod val="75000"/>
                  </a:schemeClr>
                </a:solidFill>
                <a:effectLst/>
                <a:uFill>
                  <a:solidFill>
                    <a:schemeClr val="accent3">
                      <a:lumMod val="75000"/>
                    </a:schemeClr>
                  </a:solidFill>
                </a:uFill>
              </a:rPr>
              <a:t>Golden West</a:t>
            </a:r>
            <a:r>
              <a:rPr lang="en-US" sz="1100" b="1" i="0" u="none" strike="noStrike" baseline="0">
                <a:effectLst/>
              </a:rPr>
              <a:t>  Credit Student Ethnic Composition </a:t>
            </a:r>
            <a:endParaRPr lang="en-US" sz="1100"/>
          </a:p>
        </c:rich>
      </c:tx>
      <c:layout>
        <c:manualLayout>
          <c:xMode val="edge"/>
          <c:yMode val="edge"/>
          <c:x val="0.28090993735272141"/>
          <c:y val="0"/>
        </c:manualLayout>
      </c:layout>
      <c:overlay val="1"/>
    </c:title>
    <c:autoTitleDeleted val="0"/>
    <c:plotArea>
      <c:layout>
        <c:manualLayout>
          <c:layoutTarget val="inner"/>
          <c:xMode val="edge"/>
          <c:yMode val="edge"/>
          <c:x val="5.2535510588684164E-2"/>
          <c:y val="0.12455559532331185"/>
          <c:w val="0.94746450333576149"/>
          <c:h val="0.69103833611707632"/>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Sheet1!$B$2:$F$2</c:f>
              <c:numCache>
                <c:formatCode>0.0%</c:formatCode>
                <c:ptCount val="5"/>
                <c:pt idx="0">
                  <c:v>0.30851488308993696</c:v>
                </c:pt>
                <c:pt idx="1">
                  <c:v>0.26222967041736495</c:v>
                </c:pt>
                <c:pt idx="2">
                  <c:v>5.769691165908547E-2</c:v>
                </c:pt>
                <c:pt idx="3">
                  <c:v>4.1736493496129595E-2</c:v>
                </c:pt>
                <c:pt idx="4">
                  <c:v>0.32982204133748305</c:v>
                </c:pt>
              </c:numCache>
            </c:numRef>
          </c:val>
          <c:extLst xmlns:c16r2="http://schemas.microsoft.com/office/drawing/2015/06/chart">
            <c:ext xmlns:c16="http://schemas.microsoft.com/office/drawing/2014/chart" uri="{C3380CC4-5D6E-409C-BE32-E72D297353CC}">
              <c16:uniqueId val="{00000000-25E6-465F-9BC0-6E271B96756D}"/>
            </c:ext>
          </c:extLst>
        </c:ser>
        <c:ser>
          <c:idx val="1"/>
          <c:order val="1"/>
          <c:tx>
            <c:strRef>
              <c:f>Sheet1!$A$3</c:f>
              <c:strCache>
                <c:ptCount val="1"/>
                <c:pt idx="0">
                  <c:v>Fall 13</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Sheet1!$B$3:$F$3</c:f>
              <c:numCache>
                <c:formatCode>0.0%</c:formatCode>
                <c:ptCount val="5"/>
                <c:pt idx="0">
                  <c:v>0.29570061195669228</c:v>
                </c:pt>
                <c:pt idx="1">
                  <c:v>0.29013023693707829</c:v>
                </c:pt>
                <c:pt idx="2">
                  <c:v>4.6524399811705634E-2</c:v>
                </c:pt>
                <c:pt idx="3">
                  <c:v>4.3935352267377999E-2</c:v>
                </c:pt>
                <c:pt idx="4">
                  <c:v>0.32370939902714579</c:v>
                </c:pt>
              </c:numCache>
            </c:numRef>
          </c:val>
          <c:extLst xmlns:c16r2="http://schemas.microsoft.com/office/drawing/2015/06/chart">
            <c:ext xmlns:c16="http://schemas.microsoft.com/office/drawing/2014/chart" uri="{C3380CC4-5D6E-409C-BE32-E72D297353CC}">
              <c16:uniqueId val="{00000001-25E6-465F-9BC0-6E271B96756D}"/>
            </c:ext>
          </c:extLst>
        </c:ser>
        <c:ser>
          <c:idx val="2"/>
          <c:order val="2"/>
          <c:tx>
            <c:strRef>
              <c:f>Sheet1!$A$4</c:f>
              <c:strCache>
                <c:ptCount val="1"/>
                <c:pt idx="0">
                  <c:v>Fall 14</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Sheet1!$B$4:$F$4</c:f>
              <c:numCache>
                <c:formatCode>0.0%</c:formatCode>
                <c:ptCount val="5"/>
                <c:pt idx="0">
                  <c:v>0.29578139980824547</c:v>
                </c:pt>
                <c:pt idx="1">
                  <c:v>0.30504953659316075</c:v>
                </c:pt>
                <c:pt idx="2">
                  <c:v>4.2106104186641097E-2</c:v>
                </c:pt>
                <c:pt idx="3">
                  <c:v>4.3863854266538833E-2</c:v>
                </c:pt>
                <c:pt idx="4">
                  <c:v>0.31319910514541388</c:v>
                </c:pt>
              </c:numCache>
            </c:numRef>
          </c:val>
          <c:extLst xmlns:c16r2="http://schemas.microsoft.com/office/drawing/2015/06/chart">
            <c:ext xmlns:c16="http://schemas.microsoft.com/office/drawing/2014/chart" uri="{C3380CC4-5D6E-409C-BE32-E72D297353CC}">
              <c16:uniqueId val="{00000002-25E6-465F-9BC0-6E271B96756D}"/>
            </c:ext>
          </c:extLst>
        </c:ser>
        <c:ser>
          <c:idx val="3"/>
          <c:order val="3"/>
          <c:tx>
            <c:strRef>
              <c:f>Sheet1!$A$5</c:f>
              <c:strCache>
                <c:ptCount val="1"/>
                <c:pt idx="0">
                  <c:v>Fall 15</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Sheet1!$B$5:$F$5</c:f>
              <c:numCache>
                <c:formatCode>0.0%</c:formatCode>
                <c:ptCount val="5"/>
                <c:pt idx="0">
                  <c:v>0.28798818510009844</c:v>
                </c:pt>
                <c:pt idx="1">
                  <c:v>0.31301279947489336</c:v>
                </c:pt>
                <c:pt idx="2">
                  <c:v>3.7413849688217919E-2</c:v>
                </c:pt>
                <c:pt idx="3">
                  <c:v>4.6192976698391862E-2</c:v>
                </c:pt>
                <c:pt idx="4">
                  <c:v>0.31539218903839844</c:v>
                </c:pt>
              </c:numCache>
            </c:numRef>
          </c:val>
          <c:extLst xmlns:c16r2="http://schemas.microsoft.com/office/drawing/2015/06/chart">
            <c:ext xmlns:c16="http://schemas.microsoft.com/office/drawing/2014/chart" uri="{C3380CC4-5D6E-409C-BE32-E72D297353CC}">
              <c16:uniqueId val="{00000003-25E6-465F-9BC0-6E271B96756D}"/>
            </c:ext>
          </c:extLst>
        </c:ser>
        <c:ser>
          <c:idx val="4"/>
          <c:order val="4"/>
          <c:tx>
            <c:strRef>
              <c:f>Sheet1!$A$6</c:f>
              <c:strCache>
                <c:ptCount val="1"/>
                <c:pt idx="0">
                  <c:v>Fall 16</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Sheet1!$B$6:$F$6</c:f>
              <c:numCache>
                <c:formatCode>0.0%</c:formatCode>
                <c:ptCount val="5"/>
                <c:pt idx="0">
                  <c:v>0.28199999999999997</c:v>
                </c:pt>
                <c:pt idx="1">
                  <c:v>0.32600000000000001</c:v>
                </c:pt>
                <c:pt idx="2">
                  <c:v>3.9E-2</c:v>
                </c:pt>
                <c:pt idx="3">
                  <c:v>4.7E-2</c:v>
                </c:pt>
                <c:pt idx="4">
                  <c:v>0.30599999999999999</c:v>
                </c:pt>
              </c:numCache>
            </c:numRef>
          </c:val>
          <c:extLst xmlns:c16r2="http://schemas.microsoft.com/office/drawing/2015/06/chart">
            <c:ext xmlns:c16="http://schemas.microsoft.com/office/drawing/2014/chart" uri="{C3380CC4-5D6E-409C-BE32-E72D297353CC}">
              <c16:uniqueId val="{00000004-25E6-465F-9BC0-6E271B96756D}"/>
            </c:ext>
          </c:extLst>
        </c:ser>
        <c:dLbls>
          <c:showLegendKey val="0"/>
          <c:showVal val="0"/>
          <c:showCatName val="0"/>
          <c:showSerName val="0"/>
          <c:showPercent val="0"/>
          <c:showBubbleSize val="0"/>
        </c:dLbls>
        <c:gapWidth val="150"/>
        <c:axId val="240201560"/>
        <c:axId val="240201952"/>
      </c:barChart>
      <c:catAx>
        <c:axId val="240201560"/>
        <c:scaling>
          <c:orientation val="minMax"/>
        </c:scaling>
        <c:delete val="0"/>
        <c:axPos val="b"/>
        <c:numFmt formatCode="General" sourceLinked="0"/>
        <c:majorTickMark val="out"/>
        <c:minorTickMark val="none"/>
        <c:tickLblPos val="nextTo"/>
        <c:txPr>
          <a:bodyPr/>
          <a:lstStyle/>
          <a:p>
            <a:pPr>
              <a:defRPr>
                <a:latin typeface="+mn-lt"/>
              </a:defRPr>
            </a:pPr>
            <a:endParaRPr lang="en-US"/>
          </a:p>
        </c:txPr>
        <c:crossAx val="240201952"/>
        <c:crosses val="autoZero"/>
        <c:auto val="1"/>
        <c:lblAlgn val="ctr"/>
        <c:lblOffset val="100"/>
        <c:noMultiLvlLbl val="0"/>
      </c:catAx>
      <c:valAx>
        <c:axId val="240201952"/>
        <c:scaling>
          <c:orientation val="minMax"/>
          <c:max val="0.5"/>
        </c:scaling>
        <c:delete val="0"/>
        <c:axPos val="l"/>
        <c:majorGridlines>
          <c:spPr>
            <a:ln w="6350">
              <a:solidFill>
                <a:schemeClr val="bg1">
                  <a:lumMod val="85000"/>
                </a:schemeClr>
              </a:solidFill>
            </a:ln>
          </c:spPr>
        </c:majorGridlines>
        <c:numFmt formatCode="0%" sourceLinked="0"/>
        <c:majorTickMark val="out"/>
        <c:minorTickMark val="none"/>
        <c:tickLblPos val="nextTo"/>
        <c:spPr>
          <a:ln w="3175"/>
        </c:spPr>
        <c:crossAx val="240201560"/>
        <c:crosses val="autoZero"/>
        <c:crossBetween val="between"/>
      </c:valAx>
      <c:spPr>
        <a:ln>
          <a:noFill/>
        </a:ln>
      </c:spPr>
    </c:plotArea>
    <c:legend>
      <c:legendPos val="b"/>
      <c:layout>
        <c:manualLayout>
          <c:xMode val="edge"/>
          <c:yMode val="edge"/>
          <c:x val="0.23861967694566813"/>
          <c:y val="0.89950212170615251"/>
          <c:w val="0.43398834506920114"/>
          <c:h val="0.10049787829384763"/>
        </c:manualLayout>
      </c:layout>
      <c:overlay val="0"/>
      <c:txPr>
        <a:bodyPr/>
        <a:lstStyle/>
        <a:p>
          <a:pPr>
            <a:defRPr>
              <a:latin typeface="Franklin Gothic Book" panose="020B0503020102020204" pitchFamily="34" charset="0"/>
            </a:defRPr>
          </a:pPr>
          <a:endParaRPr lang="en-US"/>
        </a:p>
      </c:txPr>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100">
                <a:latin typeface="Calibri" pitchFamily="34" charset="0"/>
              </a:defRPr>
            </a:pPr>
            <a:r>
              <a:rPr lang="en-US" sz="1100" u="heavy" baseline="0">
                <a:solidFill>
                  <a:schemeClr val="accent6">
                    <a:lumMod val="75000"/>
                  </a:schemeClr>
                </a:solidFill>
                <a:uFill>
                  <a:solidFill>
                    <a:schemeClr val="accent6">
                      <a:lumMod val="75000"/>
                    </a:schemeClr>
                  </a:solidFill>
                </a:uFill>
                <a:latin typeface="Calibri" pitchFamily="34" charset="0"/>
              </a:rPr>
              <a:t>Orange Coast</a:t>
            </a:r>
            <a:r>
              <a:rPr lang="en-US" sz="1100">
                <a:latin typeface="Calibri" pitchFamily="34" charset="0"/>
              </a:rPr>
              <a:t>  Credit Student Ethnic Composition </a:t>
            </a:r>
          </a:p>
        </c:rich>
      </c:tx>
      <c:layout>
        <c:manualLayout>
          <c:xMode val="edge"/>
          <c:yMode val="edge"/>
          <c:x val="0.28090993735272141"/>
          <c:y val="0"/>
        </c:manualLayout>
      </c:layout>
      <c:overlay val="1"/>
    </c:title>
    <c:autoTitleDeleted val="0"/>
    <c:plotArea>
      <c:layout>
        <c:manualLayout>
          <c:layoutTarget val="inner"/>
          <c:xMode val="edge"/>
          <c:yMode val="edge"/>
          <c:x val="5.2502233432804142E-2"/>
          <c:y val="0.13767005843467275"/>
          <c:w val="0.94749776656719586"/>
          <c:h val="0.69613225430154568"/>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Sheet1!$B$2:$F$2</c:f>
              <c:numCache>
                <c:formatCode>0.0%</c:formatCode>
                <c:ptCount val="5"/>
                <c:pt idx="0">
                  <c:v>0.22909175811347188</c:v>
                </c:pt>
                <c:pt idx="1">
                  <c:v>0.28923651646042492</c:v>
                </c:pt>
                <c:pt idx="2">
                  <c:v>7.5087555451786137E-2</c:v>
                </c:pt>
                <c:pt idx="3">
                  <c:v>3.955171608685501E-2</c:v>
                </c:pt>
                <c:pt idx="4">
                  <c:v>0.36703245388746208</c:v>
                </c:pt>
              </c:numCache>
            </c:numRef>
          </c:val>
          <c:extLst xmlns:c16r2="http://schemas.microsoft.com/office/drawing/2015/06/chart">
            <c:ext xmlns:c16="http://schemas.microsoft.com/office/drawing/2014/chart" uri="{C3380CC4-5D6E-409C-BE32-E72D297353CC}">
              <c16:uniqueId val="{00000000-5D56-4EE1-A4BC-C36C793B1DE7}"/>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Sheet1!$B$3:$F$3</c:f>
              <c:numCache>
                <c:formatCode>0.0%</c:formatCode>
                <c:ptCount val="5"/>
                <c:pt idx="0">
                  <c:v>0.22760487144790256</c:v>
                </c:pt>
                <c:pt idx="1">
                  <c:v>0.31290031574199367</c:v>
                </c:pt>
                <c:pt idx="2">
                  <c:v>6.5629228687415428E-2</c:v>
                </c:pt>
                <c:pt idx="3">
                  <c:v>4.1723049165539018E-2</c:v>
                </c:pt>
                <c:pt idx="4">
                  <c:v>0.35214253495714931</c:v>
                </c:pt>
              </c:numCache>
            </c:numRef>
          </c:val>
          <c:extLst xmlns:c16r2="http://schemas.microsoft.com/office/drawing/2015/06/chart">
            <c:ext xmlns:c16="http://schemas.microsoft.com/office/drawing/2014/chart" uri="{C3380CC4-5D6E-409C-BE32-E72D297353CC}">
              <c16:uniqueId val="{00000001-5D56-4EE1-A4BC-C36C793B1DE7}"/>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Sheet1!$B$4:$F$4</c:f>
              <c:numCache>
                <c:formatCode>0.0%</c:formatCode>
                <c:ptCount val="5"/>
                <c:pt idx="0">
                  <c:v>0.22466940264477883</c:v>
                </c:pt>
                <c:pt idx="1">
                  <c:v>0.3288189694482444</c:v>
                </c:pt>
                <c:pt idx="2">
                  <c:v>5.9325125398996807E-2</c:v>
                </c:pt>
                <c:pt idx="3">
                  <c:v>4.3319653442772457E-2</c:v>
                </c:pt>
                <c:pt idx="4">
                  <c:v>0.34386684906520748</c:v>
                </c:pt>
              </c:numCache>
            </c:numRef>
          </c:val>
          <c:extLst xmlns:c16r2="http://schemas.microsoft.com/office/drawing/2015/06/chart">
            <c:ext xmlns:c16="http://schemas.microsoft.com/office/drawing/2014/chart" uri="{C3380CC4-5D6E-409C-BE32-E72D297353CC}">
              <c16:uniqueId val="{00000002-5D56-4EE1-A4BC-C36C793B1DE7}"/>
            </c:ext>
          </c:extLst>
        </c:ser>
        <c:ser>
          <c:idx val="3"/>
          <c:order val="3"/>
          <c:tx>
            <c:strRef>
              <c:f>Sheet1!$A$5</c:f>
              <c:strCache>
                <c:ptCount val="1"/>
                <c:pt idx="0">
                  <c:v>Fall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Sheet1!$B$5:$F$5</c:f>
              <c:numCache>
                <c:formatCode>0.0%</c:formatCode>
                <c:ptCount val="5"/>
                <c:pt idx="0">
                  <c:v>0.22789863198026464</c:v>
                </c:pt>
                <c:pt idx="1">
                  <c:v>0.33258578156537338</c:v>
                </c:pt>
                <c:pt idx="2">
                  <c:v>5.6963444718546759E-2</c:v>
                </c:pt>
                <c:pt idx="3">
                  <c:v>4.3193541152724828E-2</c:v>
                </c:pt>
                <c:pt idx="4">
                  <c:v>0.33935860058309036</c:v>
                </c:pt>
              </c:numCache>
            </c:numRef>
          </c:val>
          <c:extLst xmlns:c16r2="http://schemas.microsoft.com/office/drawing/2015/06/chart">
            <c:ext xmlns:c16="http://schemas.microsoft.com/office/drawing/2014/chart" uri="{C3380CC4-5D6E-409C-BE32-E72D297353CC}">
              <c16:uniqueId val="{00000003-5D56-4EE1-A4BC-C36C793B1DE7}"/>
            </c:ext>
          </c:extLst>
        </c:ser>
        <c:ser>
          <c:idx val="4"/>
          <c:order val="4"/>
          <c:tx>
            <c:strRef>
              <c:f>Sheet1!$A$6</c:f>
              <c:strCache>
                <c:ptCount val="1"/>
                <c:pt idx="0">
                  <c:v>Fall 16</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Asian</c:v>
                </c:pt>
                <c:pt idx="1">
                  <c:v>Hispanic</c:v>
                </c:pt>
                <c:pt idx="2">
                  <c:v>Other</c:v>
                </c:pt>
                <c:pt idx="3">
                  <c:v>Two or More</c:v>
                </c:pt>
                <c:pt idx="4">
                  <c:v>White</c:v>
                </c:pt>
              </c:strCache>
            </c:strRef>
          </c:cat>
          <c:val>
            <c:numRef>
              <c:f>Sheet1!$B$6:$F$6</c:f>
              <c:numCache>
                <c:formatCode>0.0%</c:formatCode>
                <c:ptCount val="5"/>
                <c:pt idx="0">
                  <c:v>0.219</c:v>
                </c:pt>
                <c:pt idx="1">
                  <c:v>0.33600000000000002</c:v>
                </c:pt>
                <c:pt idx="2">
                  <c:v>6.6000000000000003E-2</c:v>
                </c:pt>
                <c:pt idx="3">
                  <c:v>4.3999999999999997E-2</c:v>
                </c:pt>
                <c:pt idx="4">
                  <c:v>0.33500000000000002</c:v>
                </c:pt>
              </c:numCache>
            </c:numRef>
          </c:val>
          <c:extLst xmlns:c16r2="http://schemas.microsoft.com/office/drawing/2015/06/chart">
            <c:ext xmlns:c16="http://schemas.microsoft.com/office/drawing/2014/chart" uri="{C3380CC4-5D6E-409C-BE32-E72D297353CC}">
              <c16:uniqueId val="{00000004-5D56-4EE1-A4BC-C36C793B1DE7}"/>
            </c:ext>
          </c:extLst>
        </c:ser>
        <c:dLbls>
          <c:showLegendKey val="0"/>
          <c:showVal val="0"/>
          <c:showCatName val="0"/>
          <c:showSerName val="0"/>
          <c:showPercent val="0"/>
          <c:showBubbleSize val="0"/>
        </c:dLbls>
        <c:gapWidth val="150"/>
        <c:axId val="240202736"/>
        <c:axId val="241117536"/>
      </c:barChart>
      <c:catAx>
        <c:axId val="240202736"/>
        <c:scaling>
          <c:orientation val="minMax"/>
        </c:scaling>
        <c:delete val="0"/>
        <c:axPos val="b"/>
        <c:numFmt formatCode="General" sourceLinked="0"/>
        <c:majorTickMark val="out"/>
        <c:minorTickMark val="none"/>
        <c:tickLblPos val="nextTo"/>
        <c:crossAx val="241117536"/>
        <c:crosses val="autoZero"/>
        <c:auto val="1"/>
        <c:lblAlgn val="ctr"/>
        <c:lblOffset val="100"/>
        <c:noMultiLvlLbl val="0"/>
      </c:catAx>
      <c:valAx>
        <c:axId val="241117536"/>
        <c:scaling>
          <c:orientation val="minMax"/>
          <c:max val="0.5"/>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0202736"/>
        <c:crosses val="autoZero"/>
        <c:crossBetween val="between"/>
      </c:valAx>
    </c:plotArea>
    <c:legend>
      <c:legendPos val="b"/>
      <c:layout>
        <c:manualLayout>
          <c:xMode val="edge"/>
          <c:yMode val="edge"/>
          <c:x val="0.24949918047714442"/>
          <c:y val="0.93483284984113824"/>
          <c:w val="0.43058978399872661"/>
          <c:h val="6.5167150158861722E-2"/>
        </c:manualLayout>
      </c:layout>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a:latin typeface="Calibri" pitchFamily="34" charset="0"/>
              </a:defRPr>
            </a:pPr>
            <a:r>
              <a:rPr lang="en-US" sz="1100" b="1" i="0" u="heavy" strike="noStrike" baseline="0">
                <a:solidFill>
                  <a:schemeClr val="accent1"/>
                </a:solidFill>
                <a:effectLst/>
                <a:uFill>
                  <a:solidFill>
                    <a:schemeClr val="accent1"/>
                  </a:solidFill>
                </a:uFill>
              </a:rPr>
              <a:t>Coastline</a:t>
            </a:r>
            <a:r>
              <a:rPr lang="en-US" sz="1100" b="1" i="0" u="none" strike="noStrike" baseline="0">
                <a:effectLst/>
              </a:rPr>
              <a:t>  Credit Student Gender Composition </a:t>
            </a:r>
            <a:endParaRPr lang="en-US" sz="1100">
              <a:latin typeface="Calibri" pitchFamily="34" charset="0"/>
            </a:endParaRPr>
          </a:p>
        </c:rich>
      </c:tx>
      <c:layout>
        <c:manualLayout>
          <c:xMode val="edge"/>
          <c:yMode val="edge"/>
          <c:x val="0.26326952090128086"/>
          <c:y val="0"/>
        </c:manualLayout>
      </c:layout>
      <c:overlay val="0"/>
    </c:title>
    <c:autoTitleDeleted val="0"/>
    <c:plotArea>
      <c:layout>
        <c:manualLayout>
          <c:layoutTarget val="inner"/>
          <c:xMode val="edge"/>
          <c:yMode val="edge"/>
          <c:x val="5.7205764756801586E-2"/>
          <c:y val="0.11104629325717612"/>
          <c:w val="0.94279423109907512"/>
          <c:h val="0.68335883087594917"/>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Sheet1!$B$2:$D$2</c:f>
              <c:numCache>
                <c:formatCode>##,##0%</c:formatCode>
                <c:ptCount val="3"/>
                <c:pt idx="0">
                  <c:v>0.483232836136676</c:v>
                </c:pt>
                <c:pt idx="1">
                  <c:v>0.50322648894530797</c:v>
                </c:pt>
                <c:pt idx="2">
                  <c:v>1.3540674918015401E-2</c:v>
                </c:pt>
              </c:numCache>
            </c:numRef>
          </c:val>
          <c:extLst xmlns:c16r2="http://schemas.microsoft.com/office/drawing/2015/06/chart">
            <c:ext xmlns:c16="http://schemas.microsoft.com/office/drawing/2014/chart" uri="{C3380CC4-5D6E-409C-BE32-E72D297353CC}">
              <c16:uniqueId val="{00000000-2737-4316-833A-684D170C91DA}"/>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Sheet1!$B$3:$D$3</c:f>
              <c:numCache>
                <c:formatCode>##,##0%</c:formatCode>
                <c:ptCount val="3"/>
                <c:pt idx="0">
                  <c:v>0.443288040859593</c:v>
                </c:pt>
                <c:pt idx="1">
                  <c:v>0.54485882239568295</c:v>
                </c:pt>
                <c:pt idx="2">
                  <c:v>1.1853136744723901E-2</c:v>
                </c:pt>
              </c:numCache>
            </c:numRef>
          </c:val>
          <c:extLst xmlns:c16r2="http://schemas.microsoft.com/office/drawing/2015/06/chart">
            <c:ext xmlns:c16="http://schemas.microsoft.com/office/drawing/2014/chart" uri="{C3380CC4-5D6E-409C-BE32-E72D297353CC}">
              <c16:uniqueId val="{00000001-2737-4316-833A-684D170C91DA}"/>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Sheet1!$B$4:$D$4</c:f>
              <c:numCache>
                <c:formatCode>##,##0%</c:formatCode>
                <c:ptCount val="3"/>
                <c:pt idx="0">
                  <c:v>0.406072768519326</c:v>
                </c:pt>
                <c:pt idx="1">
                  <c:v>0.58101387313497999</c:v>
                </c:pt>
                <c:pt idx="2">
                  <c:v>1.29133583456941E-2</c:v>
                </c:pt>
              </c:numCache>
            </c:numRef>
          </c:val>
          <c:extLst xmlns:c16r2="http://schemas.microsoft.com/office/drawing/2015/06/chart">
            <c:ext xmlns:c16="http://schemas.microsoft.com/office/drawing/2014/chart" uri="{C3380CC4-5D6E-409C-BE32-E72D297353CC}">
              <c16:uniqueId val="{00000002-2737-4316-833A-684D170C91DA}"/>
            </c:ext>
          </c:extLst>
        </c:ser>
        <c:ser>
          <c:idx val="3"/>
          <c:order val="3"/>
          <c:tx>
            <c:strRef>
              <c:f>Sheet1!$A$5</c:f>
              <c:strCache>
                <c:ptCount val="1"/>
                <c:pt idx="0">
                  <c:v>Fall 15</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Sheet1!$B$5:$D$5</c:f>
              <c:numCache>
                <c:formatCode>##,##0%</c:formatCode>
                <c:ptCount val="3"/>
                <c:pt idx="0">
                  <c:v>0.40508401551055601</c:v>
                </c:pt>
                <c:pt idx="1">
                  <c:v>0.58224903059026301</c:v>
                </c:pt>
                <c:pt idx="2">
                  <c:v>1.2666953899181399E-2</c:v>
                </c:pt>
              </c:numCache>
            </c:numRef>
          </c:val>
          <c:extLst xmlns:c16r2="http://schemas.microsoft.com/office/drawing/2015/06/chart">
            <c:ext xmlns:c16="http://schemas.microsoft.com/office/drawing/2014/chart" uri="{C3380CC4-5D6E-409C-BE32-E72D297353CC}">
              <c16:uniqueId val="{00000003-2737-4316-833A-684D170C91DA}"/>
            </c:ext>
          </c:extLst>
        </c:ser>
        <c:ser>
          <c:idx val="4"/>
          <c:order val="4"/>
          <c:tx>
            <c:strRef>
              <c:f>Sheet1!$A$6</c:f>
              <c:strCache>
                <c:ptCount val="1"/>
                <c:pt idx="0">
                  <c:v>Fall 16</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Sheet1!$B$6:$D$6</c:f>
              <c:numCache>
                <c:formatCode>##,##0%</c:formatCode>
                <c:ptCount val="3"/>
                <c:pt idx="0">
                  <c:v>0.40699999999999997</c:v>
                </c:pt>
                <c:pt idx="1">
                  <c:v>0.57699999999999996</c:v>
                </c:pt>
                <c:pt idx="2">
                  <c:v>1.6E-2</c:v>
                </c:pt>
              </c:numCache>
            </c:numRef>
          </c:val>
          <c:extLst xmlns:c16r2="http://schemas.microsoft.com/office/drawing/2015/06/chart">
            <c:ext xmlns:c16="http://schemas.microsoft.com/office/drawing/2014/chart" uri="{C3380CC4-5D6E-409C-BE32-E72D297353CC}">
              <c16:uniqueId val="{00000004-2737-4316-833A-684D170C91DA}"/>
            </c:ext>
          </c:extLst>
        </c:ser>
        <c:dLbls>
          <c:showLegendKey val="0"/>
          <c:showVal val="0"/>
          <c:showCatName val="0"/>
          <c:showSerName val="0"/>
          <c:showPercent val="0"/>
          <c:showBubbleSize val="0"/>
        </c:dLbls>
        <c:gapWidth val="150"/>
        <c:axId val="241118320"/>
        <c:axId val="241118712"/>
      </c:barChart>
      <c:catAx>
        <c:axId val="241118320"/>
        <c:scaling>
          <c:orientation val="minMax"/>
        </c:scaling>
        <c:delete val="0"/>
        <c:axPos val="b"/>
        <c:numFmt formatCode="General" sourceLinked="0"/>
        <c:majorTickMark val="out"/>
        <c:minorTickMark val="none"/>
        <c:tickLblPos val="nextTo"/>
        <c:crossAx val="241118712"/>
        <c:crosses val="autoZero"/>
        <c:auto val="1"/>
        <c:lblAlgn val="ctr"/>
        <c:lblOffset val="100"/>
        <c:noMultiLvlLbl val="0"/>
      </c:catAx>
      <c:valAx>
        <c:axId val="241118712"/>
        <c:scaling>
          <c:orientation val="minMax"/>
          <c:max val="0.70000000000000007"/>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1118320"/>
        <c:crosses val="autoZero"/>
        <c:crossBetween val="between"/>
        <c:majorUnit val="0.1"/>
      </c:valAx>
    </c:plotArea>
    <c:legend>
      <c:legendPos val="b"/>
      <c:layout>
        <c:manualLayout>
          <c:xMode val="edge"/>
          <c:yMode val="edge"/>
          <c:x val="0.31543568103710795"/>
          <c:y val="0.91769633955683105"/>
          <c:w val="0.43542698046722061"/>
          <c:h val="8.2303660443168808E-2"/>
        </c:manualLayou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100">
                <a:latin typeface="Calibri" pitchFamily="34" charset="0"/>
              </a:defRPr>
            </a:pPr>
            <a:r>
              <a:rPr lang="en-US" sz="1100" u="heavy" baseline="0">
                <a:solidFill>
                  <a:schemeClr val="accent3">
                    <a:lumMod val="75000"/>
                  </a:schemeClr>
                </a:solidFill>
                <a:uFill>
                  <a:solidFill>
                    <a:schemeClr val="accent3">
                      <a:lumMod val="75000"/>
                    </a:schemeClr>
                  </a:solidFill>
                </a:uFill>
                <a:latin typeface="Calibri" pitchFamily="34" charset="0"/>
              </a:rPr>
              <a:t>Golden West</a:t>
            </a:r>
            <a:r>
              <a:rPr lang="en-US" sz="1100">
                <a:latin typeface="Calibri" pitchFamily="34" charset="0"/>
              </a:rPr>
              <a:t>  Credit Student Gender Composition </a:t>
            </a:r>
          </a:p>
        </c:rich>
      </c:tx>
      <c:layout>
        <c:manualLayout>
          <c:xMode val="edge"/>
          <c:yMode val="edge"/>
          <c:x val="0.24206477665766199"/>
          <c:y val="0"/>
        </c:manualLayout>
      </c:layout>
      <c:overlay val="1"/>
    </c:title>
    <c:autoTitleDeleted val="0"/>
    <c:plotArea>
      <c:layout>
        <c:manualLayout>
          <c:layoutTarget val="inner"/>
          <c:xMode val="edge"/>
          <c:yMode val="edge"/>
          <c:x val="5.4512787745848341E-2"/>
          <c:y val="9.910269577506825E-2"/>
          <c:w val="0.94548724867636647"/>
          <c:h val="0.70037182852143487"/>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Sheet1!$B$2:$D$2</c:f>
              <c:numCache>
                <c:formatCode>##,##0%</c:formatCode>
                <c:ptCount val="3"/>
                <c:pt idx="0">
                  <c:v>0.53100311228154196</c:v>
                </c:pt>
                <c:pt idx="1">
                  <c:v>0.45471231346261298</c:v>
                </c:pt>
                <c:pt idx="2">
                  <c:v>1.4284574255845501E-2</c:v>
                </c:pt>
              </c:numCache>
            </c:numRef>
          </c:val>
          <c:extLst xmlns:c16r2="http://schemas.microsoft.com/office/drawing/2015/06/chart">
            <c:ext xmlns:c16="http://schemas.microsoft.com/office/drawing/2014/chart" uri="{C3380CC4-5D6E-409C-BE32-E72D297353CC}">
              <c16:uniqueId val="{00000000-9C49-43D7-AB21-9E9B080F86FE}"/>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Sheet1!$B$3:$D$3</c:f>
              <c:numCache>
                <c:formatCode>##,##0%</c:formatCode>
                <c:ptCount val="3"/>
                <c:pt idx="0">
                  <c:v>0.52259532402322295</c:v>
                </c:pt>
                <c:pt idx="1">
                  <c:v>0.462498038600345</c:v>
                </c:pt>
                <c:pt idx="2">
                  <c:v>1.4906637376431799E-2</c:v>
                </c:pt>
              </c:numCache>
            </c:numRef>
          </c:val>
          <c:extLst xmlns:c16r2="http://schemas.microsoft.com/office/drawing/2015/06/chart">
            <c:ext xmlns:c16="http://schemas.microsoft.com/office/drawing/2014/chart" uri="{C3380CC4-5D6E-409C-BE32-E72D297353CC}">
              <c16:uniqueId val="{00000001-9C49-43D7-AB21-9E9B080F86FE}"/>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Sheet1!$B$4:$D$4</c:f>
              <c:numCache>
                <c:formatCode>##,##0%</c:formatCode>
                <c:ptCount val="3"/>
                <c:pt idx="0">
                  <c:v>0.52205177372962597</c:v>
                </c:pt>
                <c:pt idx="1">
                  <c:v>0.46340683924576498</c:v>
                </c:pt>
                <c:pt idx="2">
                  <c:v>1.45413870246085E-2</c:v>
                </c:pt>
              </c:numCache>
            </c:numRef>
          </c:val>
          <c:extLst xmlns:c16r2="http://schemas.microsoft.com/office/drawing/2015/06/chart">
            <c:ext xmlns:c16="http://schemas.microsoft.com/office/drawing/2014/chart" uri="{C3380CC4-5D6E-409C-BE32-E72D297353CC}">
              <c16:uniqueId val="{00000002-9C49-43D7-AB21-9E9B080F86FE}"/>
            </c:ext>
          </c:extLst>
        </c:ser>
        <c:ser>
          <c:idx val="3"/>
          <c:order val="3"/>
          <c:tx>
            <c:strRef>
              <c:f>Sheet1!$A$5</c:f>
              <c:strCache>
                <c:ptCount val="1"/>
                <c:pt idx="0">
                  <c:v>Fall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Sheet1!$B$5:$D$5</c:f>
              <c:numCache>
                <c:formatCode>##,##0%</c:formatCode>
                <c:ptCount val="3"/>
                <c:pt idx="0">
                  <c:v>0.51632753528060404</c:v>
                </c:pt>
                <c:pt idx="1">
                  <c:v>0.46381686905152603</c:v>
                </c:pt>
                <c:pt idx="2">
                  <c:v>1.9855595667869999E-2</c:v>
                </c:pt>
              </c:numCache>
            </c:numRef>
          </c:val>
          <c:extLst xmlns:c16r2="http://schemas.microsoft.com/office/drawing/2015/06/chart">
            <c:ext xmlns:c16="http://schemas.microsoft.com/office/drawing/2014/chart" uri="{C3380CC4-5D6E-409C-BE32-E72D297353CC}">
              <c16:uniqueId val="{00000003-9C49-43D7-AB21-9E9B080F86FE}"/>
            </c:ext>
          </c:extLst>
        </c:ser>
        <c:ser>
          <c:idx val="4"/>
          <c:order val="4"/>
          <c:tx>
            <c:strRef>
              <c:f>Sheet1!$A$6</c:f>
              <c:strCache>
                <c:ptCount val="1"/>
                <c:pt idx="0">
                  <c:v>Fall 16</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Sheet1!$B$6:$D$6</c:f>
              <c:numCache>
                <c:formatCode>##,##0%</c:formatCode>
                <c:ptCount val="3"/>
                <c:pt idx="0">
                  <c:v>0.52500000000000002</c:v>
                </c:pt>
                <c:pt idx="1">
                  <c:v>0.45300000000000001</c:v>
                </c:pt>
                <c:pt idx="2">
                  <c:v>2.1999999999999999E-2</c:v>
                </c:pt>
              </c:numCache>
            </c:numRef>
          </c:val>
          <c:extLst xmlns:c16r2="http://schemas.microsoft.com/office/drawing/2015/06/chart">
            <c:ext xmlns:c16="http://schemas.microsoft.com/office/drawing/2014/chart" uri="{C3380CC4-5D6E-409C-BE32-E72D297353CC}">
              <c16:uniqueId val="{00000004-9C49-43D7-AB21-9E9B080F86FE}"/>
            </c:ext>
          </c:extLst>
        </c:ser>
        <c:dLbls>
          <c:showLegendKey val="0"/>
          <c:showVal val="0"/>
          <c:showCatName val="0"/>
          <c:showSerName val="0"/>
          <c:showPercent val="0"/>
          <c:showBubbleSize val="0"/>
        </c:dLbls>
        <c:gapWidth val="150"/>
        <c:axId val="241119496"/>
        <c:axId val="241119888"/>
      </c:barChart>
      <c:catAx>
        <c:axId val="241119496"/>
        <c:scaling>
          <c:orientation val="minMax"/>
        </c:scaling>
        <c:delete val="0"/>
        <c:axPos val="b"/>
        <c:numFmt formatCode="General" sourceLinked="0"/>
        <c:majorTickMark val="out"/>
        <c:minorTickMark val="none"/>
        <c:tickLblPos val="nextTo"/>
        <c:crossAx val="241119888"/>
        <c:crosses val="autoZero"/>
        <c:auto val="1"/>
        <c:lblAlgn val="ctr"/>
        <c:lblOffset val="100"/>
        <c:noMultiLvlLbl val="0"/>
      </c:catAx>
      <c:valAx>
        <c:axId val="241119888"/>
        <c:scaling>
          <c:orientation val="minMax"/>
          <c:max val="0.70000000000000007"/>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1119496"/>
        <c:crosses val="autoZero"/>
        <c:crossBetween val="between"/>
        <c:majorUnit val="0.1"/>
      </c:valAx>
    </c:plotArea>
    <c:legend>
      <c:legendPos val="b"/>
      <c:layout>
        <c:manualLayout>
          <c:xMode val="edge"/>
          <c:yMode val="edge"/>
          <c:x val="0.30622757790635285"/>
          <c:y val="0.9263028171586809"/>
          <c:w val="0.43542698046722061"/>
          <c:h val="7.3697182841318973E-2"/>
        </c:manualLayout>
      </c:layou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100">
                <a:latin typeface="Calibri" pitchFamily="34" charset="0"/>
              </a:defRPr>
            </a:pPr>
            <a:r>
              <a:rPr lang="en-US" sz="1100" u="heavy" baseline="0">
                <a:solidFill>
                  <a:schemeClr val="accent6">
                    <a:lumMod val="75000"/>
                  </a:schemeClr>
                </a:solidFill>
                <a:uFill>
                  <a:solidFill>
                    <a:schemeClr val="accent6">
                      <a:lumMod val="75000"/>
                    </a:schemeClr>
                  </a:solidFill>
                </a:uFill>
                <a:latin typeface="Calibri" pitchFamily="34" charset="0"/>
              </a:rPr>
              <a:t>Orange Coast</a:t>
            </a:r>
            <a:r>
              <a:rPr lang="en-US" sz="1100" baseline="0">
                <a:latin typeface="Calibri" pitchFamily="34" charset="0"/>
              </a:rPr>
              <a:t> </a:t>
            </a:r>
            <a:r>
              <a:rPr lang="en-US" sz="1100">
                <a:latin typeface="Calibri" pitchFamily="34" charset="0"/>
              </a:rPr>
              <a:t> Credit Student Gender Composition </a:t>
            </a:r>
          </a:p>
        </c:rich>
      </c:tx>
      <c:layout>
        <c:manualLayout>
          <c:xMode val="edge"/>
          <c:yMode val="edge"/>
          <c:x val="0.2396937820481434"/>
          <c:y val="0"/>
        </c:manualLayout>
      </c:layout>
      <c:overlay val="1"/>
    </c:title>
    <c:autoTitleDeleted val="0"/>
    <c:plotArea>
      <c:layout>
        <c:manualLayout>
          <c:layoutTarget val="inner"/>
          <c:xMode val="edge"/>
          <c:yMode val="edge"/>
          <c:x val="5.1496929856245037E-2"/>
          <c:y val="9.8565860383001538E-2"/>
          <c:w val="0.94850307014375501"/>
          <c:h val="0.73444816705498628"/>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Sheet1!$B$2:$D$2</c:f>
              <c:numCache>
                <c:formatCode>##,##0%</c:formatCode>
                <c:ptCount val="3"/>
                <c:pt idx="0">
                  <c:v>0.47312631333177702</c:v>
                </c:pt>
                <c:pt idx="1">
                  <c:v>0.49759514359094098</c:v>
                </c:pt>
                <c:pt idx="2">
                  <c:v>2.9278543077282299E-2</c:v>
                </c:pt>
              </c:numCache>
            </c:numRef>
          </c:val>
          <c:extLst xmlns:c16r2="http://schemas.microsoft.com/office/drawing/2015/06/chart">
            <c:ext xmlns:c16="http://schemas.microsoft.com/office/drawing/2014/chart" uri="{C3380CC4-5D6E-409C-BE32-E72D297353CC}">
              <c16:uniqueId val="{00000000-23BB-42ED-BF07-0A194F236002}"/>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Sheet1!$B$3:$D$3</c:f>
              <c:numCache>
                <c:formatCode>##,##0%</c:formatCode>
                <c:ptCount val="3"/>
                <c:pt idx="0">
                  <c:v>0.471087054578259</c:v>
                </c:pt>
                <c:pt idx="1">
                  <c:v>0.50491655390166901</c:v>
                </c:pt>
                <c:pt idx="2">
                  <c:v>2.3996391520072199E-2</c:v>
                </c:pt>
              </c:numCache>
            </c:numRef>
          </c:val>
          <c:extLst xmlns:c16r2="http://schemas.microsoft.com/office/drawing/2015/06/chart">
            <c:ext xmlns:c16="http://schemas.microsoft.com/office/drawing/2014/chart" uri="{C3380CC4-5D6E-409C-BE32-E72D297353CC}">
              <c16:uniqueId val="{00000001-23BB-42ED-BF07-0A194F236002}"/>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Sheet1!$B$4:$D$4</c:f>
              <c:numCache>
                <c:formatCode>##,##0%</c:formatCode>
                <c:ptCount val="3"/>
                <c:pt idx="0">
                  <c:v>0.468673050615595</c:v>
                </c:pt>
                <c:pt idx="1">
                  <c:v>0.50998632010943901</c:v>
                </c:pt>
                <c:pt idx="2">
                  <c:v>2.13406292749658E-2</c:v>
                </c:pt>
              </c:numCache>
            </c:numRef>
          </c:val>
          <c:extLst xmlns:c16r2="http://schemas.microsoft.com/office/drawing/2015/06/chart">
            <c:ext xmlns:c16="http://schemas.microsoft.com/office/drawing/2014/chart" uri="{C3380CC4-5D6E-409C-BE32-E72D297353CC}">
              <c16:uniqueId val="{00000002-23BB-42ED-BF07-0A194F236002}"/>
            </c:ext>
          </c:extLst>
        </c:ser>
        <c:ser>
          <c:idx val="3"/>
          <c:order val="3"/>
          <c:tx>
            <c:strRef>
              <c:f>Sheet1!$A$5</c:f>
              <c:strCache>
                <c:ptCount val="1"/>
                <c:pt idx="0">
                  <c:v>Fall 15</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Sheet1!$B$5:$D$5</c:f>
              <c:numCache>
                <c:formatCode>##,##0%</c:formatCode>
                <c:ptCount val="3"/>
                <c:pt idx="0">
                  <c:v>0.47342453464902401</c:v>
                </c:pt>
                <c:pt idx="1">
                  <c:v>0.50661583314644498</c:v>
                </c:pt>
                <c:pt idx="2">
                  <c:v>1.99596322045302E-2</c:v>
                </c:pt>
              </c:numCache>
            </c:numRef>
          </c:val>
          <c:extLst xmlns:c16r2="http://schemas.microsoft.com/office/drawing/2015/06/chart">
            <c:ext xmlns:c16="http://schemas.microsoft.com/office/drawing/2014/chart" uri="{C3380CC4-5D6E-409C-BE32-E72D297353CC}">
              <c16:uniqueId val="{00000003-23BB-42ED-BF07-0A194F236002}"/>
            </c:ext>
          </c:extLst>
        </c:ser>
        <c:ser>
          <c:idx val="4"/>
          <c:order val="4"/>
          <c:tx>
            <c:strRef>
              <c:f>Sheet1!$A$6</c:f>
              <c:strCache>
                <c:ptCount val="1"/>
                <c:pt idx="0">
                  <c:v>Fall 16</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Female</c:v>
                </c:pt>
                <c:pt idx="1">
                  <c:v>Male</c:v>
                </c:pt>
                <c:pt idx="2">
                  <c:v>Unreported</c:v>
                </c:pt>
              </c:strCache>
            </c:strRef>
          </c:cat>
          <c:val>
            <c:numRef>
              <c:f>Sheet1!$B$6:$D$6</c:f>
              <c:numCache>
                <c:formatCode>##,##0%</c:formatCode>
                <c:ptCount val="3"/>
                <c:pt idx="0">
                  <c:v>0.47199999999999998</c:v>
                </c:pt>
                <c:pt idx="1">
                  <c:v>0.50700000000000001</c:v>
                </c:pt>
                <c:pt idx="2">
                  <c:v>2.1999999999999999E-2</c:v>
                </c:pt>
              </c:numCache>
            </c:numRef>
          </c:val>
          <c:extLst xmlns:c16r2="http://schemas.microsoft.com/office/drawing/2015/06/chart">
            <c:ext xmlns:c16="http://schemas.microsoft.com/office/drawing/2014/chart" uri="{C3380CC4-5D6E-409C-BE32-E72D297353CC}">
              <c16:uniqueId val="{00000004-23BB-42ED-BF07-0A194F236002}"/>
            </c:ext>
          </c:extLst>
        </c:ser>
        <c:dLbls>
          <c:showLegendKey val="0"/>
          <c:showVal val="0"/>
          <c:showCatName val="0"/>
          <c:showSerName val="0"/>
          <c:showPercent val="0"/>
          <c:showBubbleSize val="0"/>
        </c:dLbls>
        <c:gapWidth val="150"/>
        <c:axId val="241120672"/>
        <c:axId val="241121064"/>
      </c:barChart>
      <c:catAx>
        <c:axId val="241120672"/>
        <c:scaling>
          <c:orientation val="minMax"/>
        </c:scaling>
        <c:delete val="0"/>
        <c:axPos val="b"/>
        <c:numFmt formatCode="General" sourceLinked="0"/>
        <c:majorTickMark val="out"/>
        <c:minorTickMark val="none"/>
        <c:tickLblPos val="nextTo"/>
        <c:crossAx val="241121064"/>
        <c:crosses val="autoZero"/>
        <c:auto val="1"/>
        <c:lblAlgn val="ctr"/>
        <c:lblOffset val="100"/>
        <c:noMultiLvlLbl val="0"/>
      </c:catAx>
      <c:valAx>
        <c:axId val="241121064"/>
        <c:scaling>
          <c:orientation val="minMax"/>
          <c:max val="0.70000000000000007"/>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1120672"/>
        <c:crosses val="autoZero"/>
        <c:crossBetween val="between"/>
        <c:majorUnit val="0.1"/>
      </c:valAx>
    </c:plotArea>
    <c:legend>
      <c:legendPos val="b"/>
      <c:layout>
        <c:manualLayout>
          <c:xMode val="edge"/>
          <c:yMode val="edge"/>
          <c:x val="0.30506506758241131"/>
          <c:y val="0.92594711038478683"/>
          <c:w val="0.43398834506920114"/>
          <c:h val="7.4052889615213197E-2"/>
        </c:manualLayout>
      </c:layout>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50">
                <a:latin typeface="Calibri" pitchFamily="34" charset="0"/>
              </a:defRPr>
            </a:pPr>
            <a:r>
              <a:rPr lang="en-US" sz="1050" b="1" i="0" u="heavy" strike="noStrike" baseline="0">
                <a:solidFill>
                  <a:schemeClr val="accent1"/>
                </a:solidFill>
                <a:effectLst/>
                <a:uFill>
                  <a:solidFill>
                    <a:schemeClr val="accent1"/>
                  </a:solidFill>
                </a:uFill>
              </a:rPr>
              <a:t>Coastline</a:t>
            </a:r>
            <a:r>
              <a:rPr lang="en-US" sz="1050" b="1" i="0" u="none" strike="noStrike" baseline="0">
                <a:effectLst/>
              </a:rPr>
              <a:t>  Credit Student Age Composition</a:t>
            </a:r>
            <a:r>
              <a:rPr lang="en-US" sz="1050">
                <a:latin typeface="Calibri" pitchFamily="34" charset="0"/>
              </a:rPr>
              <a:t> </a:t>
            </a:r>
          </a:p>
        </c:rich>
      </c:tx>
      <c:layout>
        <c:manualLayout>
          <c:xMode val="edge"/>
          <c:yMode val="edge"/>
          <c:x val="0.3324601421282356"/>
          <c:y val="1.6423129961253822E-3"/>
        </c:manualLayout>
      </c:layout>
      <c:overlay val="1"/>
    </c:title>
    <c:autoTitleDeleted val="0"/>
    <c:plotArea>
      <c:layout>
        <c:manualLayout>
          <c:layoutTarget val="inner"/>
          <c:xMode val="edge"/>
          <c:yMode val="edge"/>
          <c:x val="5.8405093873348447E-2"/>
          <c:y val="9.1563200182215324E-2"/>
          <c:w val="0.94159490612665153"/>
          <c:h val="0.697156215796912"/>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Sheet1!$B$2:$H$2</c:f>
              <c:numCache>
                <c:formatCode>##,##0%</c:formatCode>
                <c:ptCount val="7"/>
                <c:pt idx="0">
                  <c:v>0.121773169699534</c:v>
                </c:pt>
                <c:pt idx="1">
                  <c:v>0.22714769360981801</c:v>
                </c:pt>
                <c:pt idx="2">
                  <c:v>0.15848497672450301</c:v>
                </c:pt>
                <c:pt idx="3">
                  <c:v>0.12050359712230201</c:v>
                </c:pt>
                <c:pt idx="4">
                  <c:v>9.0562843842573001E-2</c:v>
                </c:pt>
                <c:pt idx="5">
                  <c:v>0.15340668641557301</c:v>
                </c:pt>
                <c:pt idx="6">
                  <c:v>0.12812103258569599</c:v>
                </c:pt>
              </c:numCache>
            </c:numRef>
          </c:val>
          <c:extLst xmlns:c16r2="http://schemas.microsoft.com/office/drawing/2015/06/chart">
            <c:ext xmlns:c16="http://schemas.microsoft.com/office/drawing/2014/chart" uri="{C3380CC4-5D6E-409C-BE32-E72D297353CC}">
              <c16:uniqueId val="{00000000-4D25-443E-9192-EDA05F77172D}"/>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Sheet1!$B$3:$H$3</c:f>
              <c:numCache>
                <c:formatCode>##,##0%</c:formatCode>
                <c:ptCount val="7"/>
                <c:pt idx="0">
                  <c:v>7.9984581285535303E-2</c:v>
                </c:pt>
                <c:pt idx="1">
                  <c:v>0.22896790980052001</c:v>
                </c:pt>
                <c:pt idx="2">
                  <c:v>0.17153319841958201</c:v>
                </c:pt>
                <c:pt idx="3">
                  <c:v>0.12990266936494199</c:v>
                </c:pt>
                <c:pt idx="4">
                  <c:v>0.10176351546689801</c:v>
                </c:pt>
                <c:pt idx="5">
                  <c:v>0.157559988435964</c:v>
                </c:pt>
                <c:pt idx="6">
                  <c:v>0.13028813722655899</c:v>
                </c:pt>
              </c:numCache>
            </c:numRef>
          </c:val>
          <c:extLst xmlns:c16r2="http://schemas.microsoft.com/office/drawing/2015/06/chart">
            <c:ext xmlns:c16="http://schemas.microsoft.com/office/drawing/2014/chart" uri="{C3380CC4-5D6E-409C-BE32-E72D297353CC}">
              <c16:uniqueId val="{00000001-4D25-443E-9192-EDA05F77172D}"/>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Sheet1!$B$4:$H$4</c:f>
              <c:numCache>
                <c:formatCode>##,##0%</c:formatCode>
                <c:ptCount val="7"/>
                <c:pt idx="0">
                  <c:v>8.5507372829596001E-2</c:v>
                </c:pt>
                <c:pt idx="1">
                  <c:v>0.213506674810226</c:v>
                </c:pt>
                <c:pt idx="2">
                  <c:v>0.17022947386789999</c:v>
                </c:pt>
                <c:pt idx="3">
                  <c:v>0.134717738417241</c:v>
                </c:pt>
                <c:pt idx="4">
                  <c:v>0.108018497513306</c:v>
                </c:pt>
                <c:pt idx="5">
                  <c:v>0.159497426053573</c:v>
                </c:pt>
                <c:pt idx="6">
                  <c:v>0.128522816508158</c:v>
                </c:pt>
              </c:numCache>
            </c:numRef>
          </c:val>
          <c:extLst xmlns:c16r2="http://schemas.microsoft.com/office/drawing/2015/06/chart">
            <c:ext xmlns:c16="http://schemas.microsoft.com/office/drawing/2014/chart" uri="{C3380CC4-5D6E-409C-BE32-E72D297353CC}">
              <c16:uniqueId val="{00000002-4D25-443E-9192-EDA05F77172D}"/>
            </c:ext>
          </c:extLst>
        </c:ser>
        <c:ser>
          <c:idx val="3"/>
          <c:order val="3"/>
          <c:tx>
            <c:strRef>
              <c:f>Sheet1!$A$5</c:f>
              <c:strCache>
                <c:ptCount val="1"/>
                <c:pt idx="0">
                  <c:v>Fall  15</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Sheet1!$B$5:$H$5</c:f>
              <c:numCache>
                <c:formatCode>##,##0%</c:formatCode>
                <c:ptCount val="7"/>
                <c:pt idx="0">
                  <c:v>9.8586694243364401E-2</c:v>
                </c:pt>
                <c:pt idx="1">
                  <c:v>0.21535677352637</c:v>
                </c:pt>
                <c:pt idx="2">
                  <c:v>0.17269906928645301</c:v>
                </c:pt>
                <c:pt idx="3">
                  <c:v>0.130989314029645</c:v>
                </c:pt>
                <c:pt idx="4">
                  <c:v>0.106773526370217</c:v>
                </c:pt>
                <c:pt idx="5">
                  <c:v>0.15348155808342001</c:v>
                </c:pt>
                <c:pt idx="6">
                  <c:v>0.122113064460531</c:v>
                </c:pt>
              </c:numCache>
            </c:numRef>
          </c:val>
          <c:extLst xmlns:c16r2="http://schemas.microsoft.com/office/drawing/2015/06/chart">
            <c:ext xmlns:c16="http://schemas.microsoft.com/office/drawing/2014/chart" uri="{C3380CC4-5D6E-409C-BE32-E72D297353CC}">
              <c16:uniqueId val="{00000003-4D25-443E-9192-EDA05F77172D}"/>
            </c:ext>
          </c:extLst>
        </c:ser>
        <c:ser>
          <c:idx val="4"/>
          <c:order val="4"/>
          <c:tx>
            <c:strRef>
              <c:f>Sheet1!$A$6</c:f>
              <c:strCache>
                <c:ptCount val="1"/>
                <c:pt idx="0">
                  <c:v>Fall  16</c:v>
                </c:pt>
              </c:strCache>
            </c:strRef>
          </c:tx>
          <c:invertIfNegative val="0"/>
          <c:dLbls>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Sheet1!$B$6:$H$6</c:f>
              <c:numCache>
                <c:formatCode>##,##0%</c:formatCode>
                <c:ptCount val="7"/>
                <c:pt idx="0">
                  <c:v>0.11</c:v>
                </c:pt>
                <c:pt idx="1">
                  <c:v>0.20899999999999999</c:v>
                </c:pt>
                <c:pt idx="2">
                  <c:v>0.17199999999999999</c:v>
                </c:pt>
                <c:pt idx="3">
                  <c:v>0.13</c:v>
                </c:pt>
                <c:pt idx="4">
                  <c:v>0.108</c:v>
                </c:pt>
                <c:pt idx="5">
                  <c:v>0.152</c:v>
                </c:pt>
                <c:pt idx="6">
                  <c:v>0.11899999999999999</c:v>
                </c:pt>
              </c:numCache>
            </c:numRef>
          </c:val>
          <c:extLst xmlns:c16r2="http://schemas.microsoft.com/office/drawing/2015/06/chart">
            <c:ext xmlns:c16="http://schemas.microsoft.com/office/drawing/2014/chart" uri="{C3380CC4-5D6E-409C-BE32-E72D297353CC}">
              <c16:uniqueId val="{00000004-4D25-443E-9192-EDA05F77172D}"/>
            </c:ext>
          </c:extLst>
        </c:ser>
        <c:dLbls>
          <c:showLegendKey val="0"/>
          <c:showVal val="0"/>
          <c:showCatName val="0"/>
          <c:showSerName val="0"/>
          <c:showPercent val="0"/>
          <c:showBubbleSize val="0"/>
        </c:dLbls>
        <c:gapWidth val="150"/>
        <c:axId val="241277672"/>
        <c:axId val="241278064"/>
      </c:barChart>
      <c:catAx>
        <c:axId val="241277672"/>
        <c:scaling>
          <c:orientation val="minMax"/>
        </c:scaling>
        <c:delete val="0"/>
        <c:axPos val="b"/>
        <c:numFmt formatCode="General" sourceLinked="0"/>
        <c:majorTickMark val="out"/>
        <c:minorTickMark val="none"/>
        <c:tickLblPos val="nextTo"/>
        <c:crossAx val="241278064"/>
        <c:crosses val="autoZero"/>
        <c:auto val="1"/>
        <c:lblAlgn val="ctr"/>
        <c:lblOffset val="100"/>
        <c:noMultiLvlLbl val="0"/>
      </c:catAx>
      <c:valAx>
        <c:axId val="241278064"/>
        <c:scaling>
          <c:orientation val="minMax"/>
          <c:max val="0.5"/>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1277672"/>
        <c:crosses val="autoZero"/>
        <c:crossBetween val="between"/>
      </c:valAx>
      <c:spPr>
        <a:ln>
          <a:noFill/>
        </a:ln>
      </c:spPr>
    </c:plotArea>
    <c:legend>
      <c:legendPos val="b"/>
      <c:layout>
        <c:manualLayout>
          <c:xMode val="edge"/>
          <c:yMode val="edge"/>
          <c:x val="0.29590632658618499"/>
          <c:y val="0.92999857268596708"/>
          <c:w val="0.44672088548227912"/>
          <c:h val="7.0002869074564059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en-US" sz="1050" b="1">
                <a:effectLst/>
                <a:latin typeface="Calibri" pitchFamily="34" charset="0"/>
              </a:rPr>
              <a:t>Fall Successful Completion Rates in Basic Skills Courses</a:t>
            </a:r>
            <a:endParaRPr lang="en-US" sz="1050">
              <a:effectLst/>
              <a:latin typeface="Calibri" pitchFamily="34" charset="0"/>
            </a:endParaRPr>
          </a:p>
        </c:rich>
      </c:tx>
      <c:layout>
        <c:manualLayout>
          <c:xMode val="edge"/>
          <c:yMode val="edge"/>
          <c:x val="0.2412161112438253"/>
          <c:y val="0"/>
        </c:manualLayout>
      </c:layout>
      <c:overlay val="1"/>
    </c:title>
    <c:autoTitleDeleted val="0"/>
    <c:plotArea>
      <c:layout>
        <c:manualLayout>
          <c:layoutTarget val="inner"/>
          <c:xMode val="edge"/>
          <c:yMode val="edge"/>
          <c:x val="5.1402613134896601E-2"/>
          <c:y val="9.5214706961642984E-2"/>
          <c:w val="0.74756049724553664"/>
          <c:h val="0.80242852491830563"/>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dLbl>
              <c:idx val="0"/>
              <c:layout>
                <c:manualLayout>
                  <c:x val="-3.0173124484748574E-2"/>
                  <c:y val="-4.08110254309183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75-40FA-A3A9-4A6F7C32F5F2}"/>
                </c:ext>
                <c:ext xmlns:c15="http://schemas.microsoft.com/office/drawing/2012/chart" uri="{CE6537A1-D6FC-4f65-9D91-7224C49458BB}">
                  <c15:layout/>
                </c:ext>
              </c:extLst>
            </c:dLbl>
            <c:dLbl>
              <c:idx val="1"/>
              <c:layout>
                <c:manualLayout>
                  <c:x val="-1.9181093707062381E-2"/>
                  <c:y val="-4.08110254309183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75-40FA-A3A9-4A6F7C32F5F2}"/>
                </c:ext>
                <c:ext xmlns:c15="http://schemas.microsoft.com/office/drawing/2012/chart" uri="{CE6537A1-D6FC-4f65-9D91-7224C49458BB}">
                  <c15:layout/>
                </c:ext>
              </c:extLst>
            </c:dLbl>
            <c:dLbl>
              <c:idx val="2"/>
              <c:layout>
                <c:manualLayout>
                  <c:x val="-3.7501145003206074E-2"/>
                  <c:y val="-5.45946229498707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CD-49F3-BAC5-ED4105B00939}"/>
                </c:ext>
                <c:ext xmlns:c15="http://schemas.microsoft.com/office/drawing/2012/chart" uri="{CE6537A1-D6FC-4f65-9D91-7224C49458BB}">
                  <c15:layout/>
                </c:ext>
              </c:extLst>
            </c:dLbl>
            <c:dLbl>
              <c:idx val="3"/>
              <c:layout>
                <c:manualLayout>
                  <c:x val="-4.1165155262434666E-2"/>
                  <c:y val="-3.6216492924600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1CD-49F3-BAC5-ED4105B00939}"/>
                </c:ext>
                <c:ext xmlns:c15="http://schemas.microsoft.com/office/drawing/2012/chart" uri="{CE6537A1-D6FC-4f65-9D91-7224C49458BB}">
                  <c15:layout/>
                </c:ext>
              </c:extLst>
            </c:dLbl>
            <c:dLbl>
              <c:idx val="4"/>
              <c:layout>
                <c:manualLayout>
                  <c:x val="-3.7501145003206011E-2"/>
                  <c:y val="-5.00000904435532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CD-49F3-BAC5-ED4105B00939}"/>
                </c:ext>
                <c:ext xmlns:c15="http://schemas.microsoft.com/office/drawing/2012/chart" uri="{CE6537A1-D6FC-4f65-9D91-7224C49458BB}">
                  <c15:layout/>
                </c:ext>
              </c:extLst>
            </c:dLbl>
            <c:dLbl>
              <c:idx val="5"/>
              <c:layout>
                <c:manualLayout>
                  <c:x val="-1.9181093707062512E-2"/>
                  <c:y val="-5.00000904435532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1CD-49F3-BAC5-ED4105B00939}"/>
                </c:ext>
                <c:ext xmlns:c15="http://schemas.microsoft.com/office/drawing/2012/chart" uri="{CE6537A1-D6FC-4f65-9D91-7224C49458BB}"/>
              </c:extLst>
            </c:dLbl>
            <c:spPr>
              <a:solidFill>
                <a:sysClr val="window" lastClr="FFFFFF">
                  <a:alpha val="60000"/>
                </a:sysClr>
              </a:solidFill>
            </c:spPr>
            <c:txPr>
              <a:bodyPr/>
              <a:lstStyle/>
              <a:p>
                <a:pPr>
                  <a:defRPr sz="800" b="1">
                    <a:solidFill>
                      <a:schemeClr val="tx2">
                        <a:lumMod val="60000"/>
                        <a:lumOff val="40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0.77</c:v>
                </c:pt>
                <c:pt idx="1">
                  <c:v>0.77</c:v>
                </c:pt>
                <c:pt idx="2">
                  <c:v>0.72</c:v>
                </c:pt>
                <c:pt idx="3">
                  <c:v>0.75290000000000001</c:v>
                </c:pt>
                <c:pt idx="4">
                  <c:v>0.72699999999999998</c:v>
                </c:pt>
              </c:numCache>
            </c:numRef>
          </c:val>
          <c:smooth val="0"/>
          <c:extLst xmlns:c16r2="http://schemas.microsoft.com/office/drawing/2015/06/chart">
            <c:ext xmlns:c16="http://schemas.microsoft.com/office/drawing/2014/chart" uri="{C3380CC4-5D6E-409C-BE32-E72D297353CC}">
              <c16:uniqueId val="{00000004-31CD-49F3-BAC5-ED4105B00939}"/>
            </c:ext>
          </c:extLst>
        </c:ser>
        <c:ser>
          <c:idx val="1"/>
          <c:order val="1"/>
          <c:tx>
            <c:strRef>
              <c:f>Sheet1!$C$1</c:f>
              <c:strCache>
                <c:ptCount val="1"/>
                <c:pt idx="0">
                  <c:v>Golden West</c:v>
                </c:pt>
              </c:strCache>
            </c:strRef>
          </c:tx>
          <c:spPr>
            <a:ln w="25400" cap="flat" cmpd="sng" algn="ctr">
              <a:solidFill>
                <a:schemeClr val="accent3">
                  <a:lumMod val="50000"/>
                </a:schemeClr>
              </a:solidFill>
              <a:prstDash val="solid"/>
            </a:ln>
            <a:effectLst/>
          </c:spPr>
          <c:marker>
            <c:spPr>
              <a:solidFill>
                <a:schemeClr val="lt1"/>
              </a:solidFill>
              <a:ln w="25400" cap="flat" cmpd="sng" algn="ctr">
                <a:solidFill>
                  <a:schemeClr val="accent3">
                    <a:lumMod val="50000"/>
                  </a:schemeClr>
                </a:solidFill>
                <a:prstDash val="solid"/>
              </a:ln>
              <a:effectLst/>
            </c:spPr>
          </c:marker>
          <c:dLbls>
            <c:dLbl>
              <c:idx val="0"/>
              <c:layout>
                <c:manualLayout>
                  <c:x val="-7.3280205184574516E-3"/>
                  <c:y val="2.2972662531587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1CD-49F3-BAC5-ED4105B00939}"/>
                </c:ext>
                <c:ext xmlns:c15="http://schemas.microsoft.com/office/drawing/2012/chart" uri="{CE6537A1-D6FC-4f65-9D91-7224C49458BB}">
                  <c15:layout/>
                </c:ext>
              </c:extLst>
            </c:dLbl>
            <c:dLbl>
              <c:idx val="3"/>
              <c:layout>
                <c:manualLayout>
                  <c:x val="-3.29760923330586E-2"/>
                  <c:y val="-4.59453250631748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CD-49F3-BAC5-ED4105B00939}"/>
                </c:ext>
                <c:ext xmlns:c15="http://schemas.microsoft.com/office/drawing/2012/chart" uri="{CE6537A1-D6FC-4f65-9D91-7224C49458BB}">
                  <c15:layout/>
                </c:ext>
              </c:extLst>
            </c:dLbl>
            <c:dLbl>
              <c:idx val="4"/>
              <c:layout>
                <c:manualLayout>
                  <c:x val="-3.2976092333058531E-2"/>
                  <c:y val="4.13507925568573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1CD-49F3-BAC5-ED4105B00939}"/>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0.62</c:v>
                </c:pt>
                <c:pt idx="1">
                  <c:v>0.56999999999999995</c:v>
                </c:pt>
                <c:pt idx="2">
                  <c:v>0.56999999999999995</c:v>
                </c:pt>
                <c:pt idx="3">
                  <c:v>0.54320000000000002</c:v>
                </c:pt>
                <c:pt idx="4">
                  <c:v>0.59799999999999998</c:v>
                </c:pt>
              </c:numCache>
            </c:numRef>
          </c:val>
          <c:smooth val="0"/>
          <c:extLst xmlns:c16r2="http://schemas.microsoft.com/office/drawing/2015/06/chart">
            <c:ext xmlns:c16="http://schemas.microsoft.com/office/drawing/2014/chart" uri="{C3380CC4-5D6E-409C-BE32-E72D297353CC}">
              <c16:uniqueId val="{00000008-31CD-49F3-BAC5-ED4105B00939}"/>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1"/>
              <c:layout>
                <c:manualLayout>
                  <c:x val="-1.0021068058990565E-2"/>
                  <c:y val="-2.35124296575264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75-40FA-A3A9-4A6F7C32F5F2}"/>
                </c:ext>
                <c:ext xmlns:c15="http://schemas.microsoft.com/office/drawing/2012/chart" uri="{CE6537A1-D6FC-4f65-9D91-7224C49458BB}">
                  <c15:layout/>
                </c:ext>
              </c:extLst>
            </c:dLbl>
            <c:dLbl>
              <c:idx val="3"/>
              <c:layout>
                <c:manualLayout>
                  <c:x val="-6.3570577997617726E-3"/>
                  <c:y val="-5.134299632256512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1CD-49F3-BAC5-ED4105B00939}"/>
                </c:ext>
                <c:ext xmlns:c15="http://schemas.microsoft.com/office/drawing/2012/chart" uri="{CE6537A1-D6FC-4f65-9D91-7224C49458BB}">
                  <c15:layout/>
                </c:ext>
              </c:extLst>
            </c:dLbl>
            <c:dLbl>
              <c:idx val="4"/>
              <c:layout>
                <c:manualLayout>
                  <c:x val="-8.1890629293762014E-3"/>
                  <c:y val="-1.43233646448914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1CD-49F3-BAC5-ED4105B00939}"/>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Sheet1!$D$2:$D$6</c:f>
              <c:numCache>
                <c:formatCode>0%</c:formatCode>
                <c:ptCount val="5"/>
                <c:pt idx="0">
                  <c:v>0.5</c:v>
                </c:pt>
                <c:pt idx="1">
                  <c:v>0.59</c:v>
                </c:pt>
                <c:pt idx="2">
                  <c:v>0.49</c:v>
                </c:pt>
                <c:pt idx="3">
                  <c:v>0.52470000000000006</c:v>
                </c:pt>
                <c:pt idx="4">
                  <c:v>0.62129999999999996</c:v>
                </c:pt>
              </c:numCache>
            </c:numRef>
          </c:val>
          <c:smooth val="0"/>
          <c:extLst xmlns:c16r2="http://schemas.microsoft.com/office/drawing/2015/06/chart">
            <c:ext xmlns:c16="http://schemas.microsoft.com/office/drawing/2014/chart" uri="{C3380CC4-5D6E-409C-BE32-E72D297353CC}">
              <c16:uniqueId val="{0000000B-31CD-49F3-BAC5-ED4105B00939}"/>
            </c:ext>
          </c:extLst>
        </c:ser>
        <c:ser>
          <c:idx val="3"/>
          <c:order val="3"/>
          <c:tx>
            <c:strRef>
              <c:f>Sheet1!$E$1</c:f>
              <c:strCache>
                <c:ptCount val="1"/>
                <c:pt idx="0">
                  <c:v>Statewide</c:v>
                </c:pt>
              </c:strCache>
            </c:strRef>
          </c:tx>
          <c:spPr>
            <a:ln w="25400" cap="flat" cmpd="sng" algn="ctr">
              <a:solidFill>
                <a:schemeClr val="tx2"/>
              </a:solidFill>
              <a:prstDash val="solid"/>
            </a:ln>
            <a:effectLst/>
          </c:spPr>
          <c:marker>
            <c:symbol val="x"/>
            <c:size val="7"/>
            <c:spPr>
              <a:noFill/>
              <a:ln w="25400">
                <a:solidFill>
                  <a:schemeClr val="tx2"/>
                </a:solidFill>
              </a:ln>
            </c:spPr>
          </c:marker>
          <c:dLbls>
            <c:dLbl>
              <c:idx val="0"/>
              <c:layout>
                <c:manualLayout>
                  <c:x val="-2.553815150682422E-2"/>
                  <c:y val="-4.59453250631748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1CD-49F3-BAC5-ED4105B00939}"/>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tx2"/>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Sheet1!$E$2:$E$6</c:f>
              <c:numCache>
                <c:formatCode>0%</c:formatCode>
                <c:ptCount val="5"/>
                <c:pt idx="0">
                  <c:v>0.65</c:v>
                </c:pt>
                <c:pt idx="1">
                  <c:v>0.63</c:v>
                </c:pt>
                <c:pt idx="2">
                  <c:v>0.62</c:v>
                </c:pt>
                <c:pt idx="3">
                  <c:v>0.62</c:v>
                </c:pt>
                <c:pt idx="4">
                  <c:v>0.62</c:v>
                </c:pt>
              </c:numCache>
            </c:numRef>
          </c:val>
          <c:smooth val="0"/>
          <c:extLst xmlns:c16r2="http://schemas.microsoft.com/office/drawing/2015/06/chart">
            <c:ext xmlns:c16="http://schemas.microsoft.com/office/drawing/2014/chart" uri="{C3380CC4-5D6E-409C-BE32-E72D297353CC}">
              <c16:uniqueId val="{0000000D-31CD-49F3-BAC5-ED4105B00939}"/>
            </c:ext>
          </c:extLst>
        </c:ser>
        <c:dLbls>
          <c:dLblPos val="l"/>
          <c:showLegendKey val="0"/>
          <c:showVal val="1"/>
          <c:showCatName val="0"/>
          <c:showSerName val="0"/>
          <c:showPercent val="0"/>
          <c:showBubbleSize val="0"/>
        </c:dLbls>
        <c:marker val="1"/>
        <c:smooth val="0"/>
        <c:axId val="235936280"/>
        <c:axId val="235936672"/>
      </c:lineChart>
      <c:catAx>
        <c:axId val="235936280"/>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5936672"/>
        <c:crosses val="autoZero"/>
        <c:auto val="1"/>
        <c:lblAlgn val="ctr"/>
        <c:lblOffset val="100"/>
        <c:noMultiLvlLbl val="0"/>
      </c:catAx>
      <c:valAx>
        <c:axId val="235936672"/>
        <c:scaling>
          <c:orientation val="minMax"/>
          <c:max val="0.8"/>
          <c:min val="0.4"/>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5936280"/>
        <c:crosses val="autoZero"/>
        <c:crossBetween val="between"/>
      </c:valAx>
    </c:plotArea>
    <c:legend>
      <c:legendPos val="r"/>
      <c:layout>
        <c:manualLayout>
          <c:xMode val="edge"/>
          <c:yMode val="edge"/>
          <c:x val="0.84006547258515762"/>
          <c:y val="0.2951491504637041"/>
          <c:w val="0.1552536353401002"/>
          <c:h val="0.41541266680052313"/>
        </c:manualLayout>
      </c:layout>
      <c:overlay val="0"/>
      <c:spPr>
        <a:ln>
          <a:noFill/>
        </a:ln>
      </c:spPr>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50">
                <a:latin typeface="Calibri" pitchFamily="34" charset="0"/>
              </a:defRPr>
            </a:pPr>
            <a:r>
              <a:rPr lang="en-US" sz="1050" u="heavy" baseline="0">
                <a:solidFill>
                  <a:schemeClr val="accent3">
                    <a:lumMod val="75000"/>
                  </a:schemeClr>
                </a:solidFill>
                <a:uFill>
                  <a:solidFill>
                    <a:schemeClr val="accent3">
                      <a:lumMod val="75000"/>
                    </a:schemeClr>
                  </a:solidFill>
                </a:uFill>
                <a:latin typeface="Calibri" pitchFamily="34" charset="0"/>
              </a:rPr>
              <a:t>Golden West</a:t>
            </a:r>
            <a:r>
              <a:rPr lang="en-US" sz="1050">
                <a:latin typeface="Calibri" pitchFamily="34" charset="0"/>
              </a:rPr>
              <a:t>  Credit Student Age Composition </a:t>
            </a:r>
          </a:p>
        </c:rich>
      </c:tx>
      <c:layout>
        <c:manualLayout>
          <c:xMode val="edge"/>
          <c:yMode val="edge"/>
          <c:x val="0.31596408985683544"/>
          <c:y val="1.8672665916760393E-3"/>
        </c:manualLayout>
      </c:layout>
      <c:overlay val="1"/>
    </c:title>
    <c:autoTitleDeleted val="0"/>
    <c:plotArea>
      <c:layout>
        <c:manualLayout>
          <c:layoutTarget val="inner"/>
          <c:xMode val="edge"/>
          <c:yMode val="edge"/>
          <c:x val="6.0120175621638419E-2"/>
          <c:y val="0.14852011962556969"/>
          <c:w val="0.93973333106211909"/>
          <c:h val="0.64940564247650856"/>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Sheet1!$B$2:$H$2</c:f>
              <c:numCache>
                <c:formatCode>##,##0%</c:formatCode>
                <c:ptCount val="7"/>
                <c:pt idx="0">
                  <c:v>0.31785172771526599</c:v>
                </c:pt>
                <c:pt idx="1">
                  <c:v>0.393344505626047</c:v>
                </c:pt>
                <c:pt idx="2">
                  <c:v>0.12632670975979601</c:v>
                </c:pt>
                <c:pt idx="3">
                  <c:v>5.5143244753012501E-2</c:v>
                </c:pt>
                <c:pt idx="4">
                  <c:v>2.9526773601468399E-2</c:v>
                </c:pt>
                <c:pt idx="5">
                  <c:v>4.1896097677759203E-2</c:v>
                </c:pt>
                <c:pt idx="6">
                  <c:v>3.5910940866650698E-2</c:v>
                </c:pt>
              </c:numCache>
            </c:numRef>
          </c:val>
          <c:extLst xmlns:c16r2="http://schemas.microsoft.com/office/drawing/2015/06/chart">
            <c:ext xmlns:c16="http://schemas.microsoft.com/office/drawing/2014/chart" uri="{C3380CC4-5D6E-409C-BE32-E72D297353CC}">
              <c16:uniqueId val="{00000000-3330-4E85-99D2-3815B3472CB4}"/>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Sheet1!$B$3:$H$3</c:f>
              <c:numCache>
                <c:formatCode>##,##0%</c:formatCode>
                <c:ptCount val="7"/>
                <c:pt idx="0">
                  <c:v>0.309822689471207</c:v>
                </c:pt>
                <c:pt idx="1">
                  <c:v>0.39957633767456502</c:v>
                </c:pt>
                <c:pt idx="2">
                  <c:v>0.13290444060881801</c:v>
                </c:pt>
                <c:pt idx="3">
                  <c:v>5.8685077671426299E-2</c:v>
                </c:pt>
                <c:pt idx="4">
                  <c:v>3.1303938490506798E-2</c:v>
                </c:pt>
                <c:pt idx="5">
                  <c:v>3.8051153302997E-2</c:v>
                </c:pt>
                <c:pt idx="6">
                  <c:v>2.96563627804802E-2</c:v>
                </c:pt>
              </c:numCache>
            </c:numRef>
          </c:val>
          <c:extLst xmlns:c16r2="http://schemas.microsoft.com/office/drawing/2015/06/chart">
            <c:ext xmlns:c16="http://schemas.microsoft.com/office/drawing/2014/chart" uri="{C3380CC4-5D6E-409C-BE32-E72D297353CC}">
              <c16:uniqueId val="{00000001-3330-4E85-99D2-3815B3472CB4}"/>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Sheet1!$B$4:$H$4</c:f>
              <c:numCache>
                <c:formatCode>##,##0%</c:formatCode>
                <c:ptCount val="7"/>
                <c:pt idx="0">
                  <c:v>0.30656759348034501</c:v>
                </c:pt>
                <c:pt idx="1">
                  <c:v>0.40252476829658002</c:v>
                </c:pt>
                <c:pt idx="2">
                  <c:v>0.13526685842122099</c:v>
                </c:pt>
                <c:pt idx="3">
                  <c:v>6.0722275487376201E-2</c:v>
                </c:pt>
                <c:pt idx="4">
                  <c:v>2.9242569511025902E-2</c:v>
                </c:pt>
                <c:pt idx="5">
                  <c:v>3.6752956216043499E-2</c:v>
                </c:pt>
                <c:pt idx="6">
                  <c:v>2.89229785874081E-2</c:v>
                </c:pt>
              </c:numCache>
            </c:numRef>
          </c:val>
          <c:extLst xmlns:c16r2="http://schemas.microsoft.com/office/drawing/2015/06/chart">
            <c:ext xmlns:c16="http://schemas.microsoft.com/office/drawing/2014/chart" uri="{C3380CC4-5D6E-409C-BE32-E72D297353CC}">
              <c16:uniqueId val="{00000002-3330-4E85-99D2-3815B3472CB4}"/>
            </c:ext>
          </c:extLst>
        </c:ser>
        <c:ser>
          <c:idx val="3"/>
          <c:order val="3"/>
          <c:tx>
            <c:strRef>
              <c:f>Sheet1!$A$5</c:f>
              <c:strCache>
                <c:ptCount val="1"/>
                <c:pt idx="0">
                  <c:v>Fall  15</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Sheet1!$B$5:$H$5</c:f>
              <c:numCache>
                <c:formatCode>##,##0%</c:formatCode>
                <c:ptCount val="7"/>
                <c:pt idx="0">
                  <c:v>0.30267476206104399</c:v>
                </c:pt>
                <c:pt idx="1">
                  <c:v>0.41286511322612401</c:v>
                </c:pt>
                <c:pt idx="2">
                  <c:v>0.13144076140465999</c:v>
                </c:pt>
                <c:pt idx="3">
                  <c:v>5.5874630784378099E-2</c:v>
                </c:pt>
                <c:pt idx="4">
                  <c:v>3.0193633081719701E-2</c:v>
                </c:pt>
                <c:pt idx="5">
                  <c:v>3.8562520511978997E-2</c:v>
                </c:pt>
                <c:pt idx="6">
                  <c:v>2.83885789300952E-2</c:v>
                </c:pt>
              </c:numCache>
            </c:numRef>
          </c:val>
          <c:extLst xmlns:c16r2="http://schemas.microsoft.com/office/drawing/2015/06/chart">
            <c:ext xmlns:c16="http://schemas.microsoft.com/office/drawing/2014/chart" uri="{C3380CC4-5D6E-409C-BE32-E72D297353CC}">
              <c16:uniqueId val="{00000003-3330-4E85-99D2-3815B3472CB4}"/>
            </c:ext>
          </c:extLst>
        </c:ser>
        <c:ser>
          <c:idx val="4"/>
          <c:order val="4"/>
          <c:tx>
            <c:strRef>
              <c:f>Sheet1!$A$6</c:f>
              <c:strCache>
                <c:ptCount val="1"/>
                <c:pt idx="0">
                  <c:v>Fall  16</c:v>
                </c:pt>
              </c:strCache>
            </c:strRef>
          </c:tx>
          <c:invertIfNegative val="0"/>
          <c:dLbls>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Sheet1!$B$6:$H$6</c:f>
              <c:numCache>
                <c:formatCode>##,##0%</c:formatCode>
                <c:ptCount val="7"/>
                <c:pt idx="0">
                  <c:v>0.28699999999999998</c:v>
                </c:pt>
                <c:pt idx="1">
                  <c:v>0.41699999999999998</c:v>
                </c:pt>
                <c:pt idx="2">
                  <c:v>0.14099999999999999</c:v>
                </c:pt>
                <c:pt idx="3">
                  <c:v>5.8999999999999997E-2</c:v>
                </c:pt>
                <c:pt idx="4">
                  <c:v>0.03</c:v>
                </c:pt>
                <c:pt idx="5">
                  <c:v>3.6999999999999998E-2</c:v>
                </c:pt>
                <c:pt idx="6">
                  <c:v>2.9000000000000001E-2</c:v>
                </c:pt>
              </c:numCache>
            </c:numRef>
          </c:val>
          <c:extLst xmlns:c16r2="http://schemas.microsoft.com/office/drawing/2015/06/chart">
            <c:ext xmlns:c16="http://schemas.microsoft.com/office/drawing/2014/chart" uri="{C3380CC4-5D6E-409C-BE32-E72D297353CC}">
              <c16:uniqueId val="{00000004-3330-4E85-99D2-3815B3472CB4}"/>
            </c:ext>
          </c:extLst>
        </c:ser>
        <c:dLbls>
          <c:showLegendKey val="0"/>
          <c:showVal val="0"/>
          <c:showCatName val="0"/>
          <c:showSerName val="0"/>
          <c:showPercent val="0"/>
          <c:showBubbleSize val="0"/>
        </c:dLbls>
        <c:gapWidth val="150"/>
        <c:axId val="241278848"/>
        <c:axId val="241279240"/>
      </c:barChart>
      <c:catAx>
        <c:axId val="241278848"/>
        <c:scaling>
          <c:orientation val="minMax"/>
        </c:scaling>
        <c:delete val="0"/>
        <c:axPos val="b"/>
        <c:numFmt formatCode="General" sourceLinked="0"/>
        <c:majorTickMark val="out"/>
        <c:minorTickMark val="none"/>
        <c:tickLblPos val="nextTo"/>
        <c:crossAx val="241279240"/>
        <c:crosses val="autoZero"/>
        <c:auto val="1"/>
        <c:lblAlgn val="ctr"/>
        <c:lblOffset val="100"/>
        <c:noMultiLvlLbl val="0"/>
      </c:catAx>
      <c:valAx>
        <c:axId val="241279240"/>
        <c:scaling>
          <c:orientation val="minMax"/>
          <c:max val="0.5"/>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1278848"/>
        <c:crosses val="autoZero"/>
        <c:crossBetween val="between"/>
        <c:majorUnit val="0.1"/>
      </c:valAx>
    </c:plotArea>
    <c:legend>
      <c:legendPos val="b"/>
      <c:layout>
        <c:manualLayout>
          <c:xMode val="edge"/>
          <c:yMode val="edge"/>
          <c:x val="0.29666482402800809"/>
          <c:y val="0.927663789622451"/>
          <c:w val="0.45328438866720894"/>
          <c:h val="7.2336412493892804E-2"/>
        </c:manualLayout>
      </c:layout>
      <c:overlay val="0"/>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50">
                <a:latin typeface="Calibri" pitchFamily="34" charset="0"/>
              </a:defRPr>
            </a:pPr>
            <a:r>
              <a:rPr lang="en-US" sz="1050" u="heavy" baseline="0">
                <a:solidFill>
                  <a:schemeClr val="accent6">
                    <a:lumMod val="75000"/>
                  </a:schemeClr>
                </a:solidFill>
                <a:uFill>
                  <a:solidFill>
                    <a:schemeClr val="accent6">
                      <a:lumMod val="75000"/>
                    </a:schemeClr>
                  </a:solidFill>
                </a:uFill>
                <a:latin typeface="Calibri" pitchFamily="34" charset="0"/>
              </a:rPr>
              <a:t>Orange Coast</a:t>
            </a:r>
            <a:r>
              <a:rPr lang="en-US" sz="1050" baseline="0">
                <a:latin typeface="Calibri" pitchFamily="34" charset="0"/>
              </a:rPr>
              <a:t>  </a:t>
            </a:r>
            <a:r>
              <a:rPr lang="en-US" sz="1050">
                <a:latin typeface="Calibri" pitchFamily="34" charset="0"/>
              </a:rPr>
              <a:t>Credit Student Age Composition </a:t>
            </a:r>
          </a:p>
        </c:rich>
      </c:tx>
      <c:layout>
        <c:manualLayout>
          <c:xMode val="edge"/>
          <c:yMode val="edge"/>
          <c:x val="0.32171854664123234"/>
          <c:y val="3.7562644904306315E-3"/>
        </c:manualLayout>
      </c:layout>
      <c:overlay val="1"/>
    </c:title>
    <c:autoTitleDeleted val="0"/>
    <c:plotArea>
      <c:layout>
        <c:manualLayout>
          <c:layoutTarget val="inner"/>
          <c:xMode val="edge"/>
          <c:yMode val="edge"/>
          <c:x val="6.6932866274440422E-2"/>
          <c:y val="0.12797068314420484"/>
          <c:w val="0.93223369901795983"/>
          <c:h val="0.66133556314310271"/>
        </c:manualLayout>
      </c:layout>
      <c:barChart>
        <c:barDir val="col"/>
        <c:grouping val="clustered"/>
        <c:varyColors val="0"/>
        <c:ser>
          <c:idx val="0"/>
          <c:order val="0"/>
          <c:tx>
            <c:strRef>
              <c:f>Sheet1!$A$2</c:f>
              <c:strCache>
                <c:ptCount val="1"/>
                <c:pt idx="0">
                  <c:v>Fall  12</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Sheet1!$B$2:$H$2</c:f>
              <c:numCache>
                <c:formatCode>##,##0%</c:formatCode>
                <c:ptCount val="7"/>
                <c:pt idx="0">
                  <c:v>0.31697408358627099</c:v>
                </c:pt>
                <c:pt idx="1">
                  <c:v>0.41368199859911298</c:v>
                </c:pt>
                <c:pt idx="2">
                  <c:v>0.12070978286248001</c:v>
                </c:pt>
                <c:pt idx="3">
                  <c:v>5.0618725192621998E-2</c:v>
                </c:pt>
                <c:pt idx="4">
                  <c:v>2.67569460658417E-2</c:v>
                </c:pt>
                <c:pt idx="5">
                  <c:v>4.0112070978286299E-2</c:v>
                </c:pt>
                <c:pt idx="6">
                  <c:v>3.1146392715386401E-2</c:v>
                </c:pt>
              </c:numCache>
            </c:numRef>
          </c:val>
          <c:extLst xmlns:c16r2="http://schemas.microsoft.com/office/drawing/2015/06/chart">
            <c:ext xmlns:c16="http://schemas.microsoft.com/office/drawing/2014/chart" uri="{C3380CC4-5D6E-409C-BE32-E72D297353CC}">
              <c16:uniqueId val="{00000000-7DB5-4BB8-8523-1EE2EB35EDB5}"/>
            </c:ext>
          </c:extLst>
        </c:ser>
        <c:ser>
          <c:idx val="1"/>
          <c:order val="1"/>
          <c:tx>
            <c:strRef>
              <c:f>Sheet1!$A$3</c:f>
              <c:strCache>
                <c:ptCount val="1"/>
                <c:pt idx="0">
                  <c:v>Fall  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Sheet1!$B$3:$H$3</c:f>
              <c:numCache>
                <c:formatCode>##,##0%</c:formatCode>
                <c:ptCount val="7"/>
                <c:pt idx="0">
                  <c:v>0.30410464591790698</c:v>
                </c:pt>
                <c:pt idx="1">
                  <c:v>0.41560667568786602</c:v>
                </c:pt>
                <c:pt idx="2">
                  <c:v>0.12764997744699999</c:v>
                </c:pt>
                <c:pt idx="3">
                  <c:v>5.5209742895805103E-2</c:v>
                </c:pt>
                <c:pt idx="4">
                  <c:v>2.74244474515111E-2</c:v>
                </c:pt>
                <c:pt idx="5">
                  <c:v>3.7618403247631903E-2</c:v>
                </c:pt>
                <c:pt idx="6">
                  <c:v>3.2386107352277899E-2</c:v>
                </c:pt>
              </c:numCache>
            </c:numRef>
          </c:val>
          <c:extLst xmlns:c16r2="http://schemas.microsoft.com/office/drawing/2015/06/chart">
            <c:ext xmlns:c16="http://schemas.microsoft.com/office/drawing/2014/chart" uri="{C3380CC4-5D6E-409C-BE32-E72D297353CC}">
              <c16:uniqueId val="{00000001-7DB5-4BB8-8523-1EE2EB35EDB5}"/>
            </c:ext>
          </c:extLst>
        </c:ser>
        <c:ser>
          <c:idx val="2"/>
          <c:order val="2"/>
          <c:tx>
            <c:strRef>
              <c:f>Sheet1!$A$4</c:f>
              <c:strCache>
                <c:ptCount val="1"/>
                <c:pt idx="0">
                  <c:v>Fall  14</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Sheet1!$B$4:$H$4</c:f>
              <c:numCache>
                <c:formatCode>##,##0%</c:formatCode>
                <c:ptCount val="7"/>
                <c:pt idx="0">
                  <c:v>0.30041039671682601</c:v>
                </c:pt>
                <c:pt idx="1">
                  <c:v>0.41527587779297798</c:v>
                </c:pt>
                <c:pt idx="2">
                  <c:v>0.13009575923392599</c:v>
                </c:pt>
                <c:pt idx="3">
                  <c:v>5.83675330597355E-2</c:v>
                </c:pt>
                <c:pt idx="4">
                  <c:v>2.5946192430460601E-2</c:v>
                </c:pt>
                <c:pt idx="5">
                  <c:v>3.7893296853625198E-2</c:v>
                </c:pt>
                <c:pt idx="6">
                  <c:v>3.20109439124487E-2</c:v>
                </c:pt>
              </c:numCache>
            </c:numRef>
          </c:val>
          <c:extLst xmlns:c16r2="http://schemas.microsoft.com/office/drawing/2015/06/chart">
            <c:ext xmlns:c16="http://schemas.microsoft.com/office/drawing/2014/chart" uri="{C3380CC4-5D6E-409C-BE32-E72D297353CC}">
              <c16:uniqueId val="{00000002-7DB5-4BB8-8523-1EE2EB35EDB5}"/>
            </c:ext>
          </c:extLst>
        </c:ser>
        <c:ser>
          <c:idx val="3"/>
          <c:order val="3"/>
          <c:tx>
            <c:strRef>
              <c:f>Sheet1!$A$5</c:f>
              <c:strCache>
                <c:ptCount val="1"/>
                <c:pt idx="0">
                  <c:v>Fall  15</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Sheet1!$B$5:$H$5</c:f>
              <c:numCache>
                <c:formatCode>##,##0%</c:formatCode>
                <c:ptCount val="7"/>
                <c:pt idx="0">
                  <c:v>0.31365777080062801</c:v>
                </c:pt>
                <c:pt idx="1">
                  <c:v>0.40287059878896597</c:v>
                </c:pt>
                <c:pt idx="2">
                  <c:v>0.13734021080959899</c:v>
                </c:pt>
                <c:pt idx="3">
                  <c:v>5.3464902444494297E-2</c:v>
                </c:pt>
                <c:pt idx="4">
                  <c:v>2.89302534200493E-2</c:v>
                </c:pt>
                <c:pt idx="5">
                  <c:v>3.3101592285265803E-2</c:v>
                </c:pt>
                <c:pt idx="6">
                  <c:v>3.0634671450998002E-2</c:v>
                </c:pt>
              </c:numCache>
            </c:numRef>
          </c:val>
          <c:extLst xmlns:c16r2="http://schemas.microsoft.com/office/drawing/2015/06/chart">
            <c:ext xmlns:c16="http://schemas.microsoft.com/office/drawing/2014/chart" uri="{C3380CC4-5D6E-409C-BE32-E72D297353CC}">
              <c16:uniqueId val="{00000003-7DB5-4BB8-8523-1EE2EB35EDB5}"/>
            </c:ext>
          </c:extLst>
        </c:ser>
        <c:ser>
          <c:idx val="4"/>
          <c:order val="4"/>
          <c:tx>
            <c:strRef>
              <c:f>Sheet1!$A$6</c:f>
              <c:strCache>
                <c:ptCount val="1"/>
                <c:pt idx="0">
                  <c:v>Fall  16</c:v>
                </c:pt>
              </c:strCache>
            </c:strRef>
          </c:tx>
          <c:invertIfNegative val="0"/>
          <c:dLbls>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19 or less</c:v>
                </c:pt>
                <c:pt idx="1">
                  <c:v>20 to 24</c:v>
                </c:pt>
                <c:pt idx="2">
                  <c:v>25 to 29</c:v>
                </c:pt>
                <c:pt idx="3">
                  <c:v>30 to 34</c:v>
                </c:pt>
                <c:pt idx="4">
                  <c:v>35 to 39</c:v>
                </c:pt>
                <c:pt idx="5">
                  <c:v>40 to 49</c:v>
                </c:pt>
                <c:pt idx="6">
                  <c:v>50 +</c:v>
                </c:pt>
              </c:strCache>
            </c:strRef>
          </c:cat>
          <c:val>
            <c:numRef>
              <c:f>Sheet1!$B$6:$H$6</c:f>
              <c:numCache>
                <c:formatCode>##,##0%</c:formatCode>
                <c:ptCount val="7"/>
                <c:pt idx="0">
                  <c:v>0.31900000000000001</c:v>
                </c:pt>
                <c:pt idx="1">
                  <c:v>0.39400000000000002</c:v>
                </c:pt>
                <c:pt idx="2">
                  <c:v>0.14000000000000001</c:v>
                </c:pt>
                <c:pt idx="3">
                  <c:v>5.3999999999999999E-2</c:v>
                </c:pt>
                <c:pt idx="4">
                  <c:v>0.03</c:v>
                </c:pt>
                <c:pt idx="5">
                  <c:v>3.2000000000000001E-2</c:v>
                </c:pt>
                <c:pt idx="6">
                  <c:v>0.03</c:v>
                </c:pt>
              </c:numCache>
            </c:numRef>
          </c:val>
          <c:extLst xmlns:c16r2="http://schemas.microsoft.com/office/drawing/2015/06/chart">
            <c:ext xmlns:c16="http://schemas.microsoft.com/office/drawing/2014/chart" uri="{C3380CC4-5D6E-409C-BE32-E72D297353CC}">
              <c16:uniqueId val="{00000004-7DB5-4BB8-8523-1EE2EB35EDB5}"/>
            </c:ext>
          </c:extLst>
        </c:ser>
        <c:dLbls>
          <c:showLegendKey val="0"/>
          <c:showVal val="0"/>
          <c:showCatName val="0"/>
          <c:showSerName val="0"/>
          <c:showPercent val="0"/>
          <c:showBubbleSize val="0"/>
        </c:dLbls>
        <c:gapWidth val="150"/>
        <c:axId val="241280024"/>
        <c:axId val="241280416"/>
      </c:barChart>
      <c:catAx>
        <c:axId val="241280024"/>
        <c:scaling>
          <c:orientation val="minMax"/>
        </c:scaling>
        <c:delete val="0"/>
        <c:axPos val="b"/>
        <c:numFmt formatCode="General" sourceLinked="0"/>
        <c:majorTickMark val="out"/>
        <c:minorTickMark val="none"/>
        <c:tickLblPos val="nextTo"/>
        <c:crossAx val="241280416"/>
        <c:crosses val="autoZero"/>
        <c:auto val="1"/>
        <c:lblAlgn val="ctr"/>
        <c:lblOffset val="100"/>
        <c:noMultiLvlLbl val="0"/>
      </c:catAx>
      <c:valAx>
        <c:axId val="241280416"/>
        <c:scaling>
          <c:orientation val="minMax"/>
          <c:max val="0.5"/>
          <c:min val="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1280024"/>
        <c:crosses val="autoZero"/>
        <c:crossBetween val="between"/>
      </c:valAx>
    </c:plotArea>
    <c:legend>
      <c:legendPos val="b"/>
      <c:layout>
        <c:manualLayout>
          <c:xMode val="edge"/>
          <c:yMode val="edge"/>
          <c:x val="0.30135245529636018"/>
          <c:y val="0.92805458976718824"/>
          <c:w val="0.44142705476422189"/>
          <c:h val="7.1945276751910439E-2"/>
        </c:manualLayout>
      </c:layout>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en-US" sz="1050"/>
              <a:t>Annual</a:t>
            </a:r>
            <a:r>
              <a:rPr lang="en-US" sz="1050" baseline="0"/>
              <a:t> </a:t>
            </a:r>
            <a:r>
              <a:rPr lang="en-US" sz="1050"/>
              <a:t>Headcount of Students with Disabilities </a:t>
            </a:r>
          </a:p>
        </c:rich>
      </c:tx>
      <c:layout>
        <c:manualLayout>
          <c:xMode val="edge"/>
          <c:yMode val="edge"/>
          <c:x val="0.31724718247864142"/>
          <c:y val="0"/>
        </c:manualLayout>
      </c:layout>
      <c:overlay val="1"/>
    </c:title>
    <c:autoTitleDeleted val="0"/>
    <c:plotArea>
      <c:layout>
        <c:manualLayout>
          <c:layoutTarget val="inner"/>
          <c:xMode val="edge"/>
          <c:yMode val="edge"/>
          <c:x val="6.1276216824642675E-2"/>
          <c:y val="8.6841313510509985E-2"/>
          <c:w val="0.938719879193183"/>
          <c:h val="0.74094524094200953"/>
        </c:manualLayout>
      </c:layout>
      <c:barChart>
        <c:barDir val="col"/>
        <c:grouping val="clustered"/>
        <c:varyColors val="0"/>
        <c:ser>
          <c:idx val="0"/>
          <c:order val="0"/>
          <c:tx>
            <c:strRef>
              <c:f>Sheet1!$B$1</c:f>
              <c:strCache>
                <c:ptCount val="1"/>
                <c:pt idx="0">
                  <c:v>2012-13</c:v>
                </c:pt>
              </c:strCache>
            </c:strRef>
          </c:tx>
          <c:invertIfNegative val="0"/>
          <c:dLbls>
            <c:spPr>
              <a:noFill/>
              <a:ln>
                <a:noFill/>
              </a:ln>
              <a:effectLst/>
            </c:spPr>
            <c:txPr>
              <a:bodyPr rot="-4200000"/>
              <a:lstStyle/>
              <a:p>
                <a:pPr>
                  <a:defRPr sz="800">
                    <a:latin typeface="Calibri"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Sheet1!$B$2:$B$5</c:f>
              <c:numCache>
                <c:formatCode>#,##0</c:formatCode>
                <c:ptCount val="4"/>
                <c:pt idx="0">
                  <c:v>1169</c:v>
                </c:pt>
                <c:pt idx="1">
                  <c:v>844</c:v>
                </c:pt>
                <c:pt idx="2">
                  <c:v>1340</c:v>
                </c:pt>
                <c:pt idx="3">
                  <c:v>3353</c:v>
                </c:pt>
              </c:numCache>
            </c:numRef>
          </c:val>
          <c:extLst xmlns:c16r2="http://schemas.microsoft.com/office/drawing/2015/06/chart">
            <c:ext xmlns:c16="http://schemas.microsoft.com/office/drawing/2014/chart" uri="{C3380CC4-5D6E-409C-BE32-E72D297353CC}">
              <c16:uniqueId val="{00000000-F014-49D2-993F-01A96D9954A3}"/>
            </c:ext>
          </c:extLst>
        </c:ser>
        <c:ser>
          <c:idx val="1"/>
          <c:order val="1"/>
          <c:tx>
            <c:strRef>
              <c:f>Sheet1!$C$1</c:f>
              <c:strCache>
                <c:ptCount val="1"/>
                <c:pt idx="0">
                  <c:v>2013-14</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#,##0</c:formatCode>
                <c:ptCount val="4"/>
                <c:pt idx="0">
                  <c:v>1224</c:v>
                </c:pt>
                <c:pt idx="1">
                  <c:v>892</c:v>
                </c:pt>
                <c:pt idx="2">
                  <c:v>1251</c:v>
                </c:pt>
                <c:pt idx="3">
                  <c:v>3367</c:v>
                </c:pt>
              </c:numCache>
            </c:numRef>
          </c:val>
          <c:extLst xmlns:c16r2="http://schemas.microsoft.com/office/drawing/2015/06/chart">
            <c:ext xmlns:c16="http://schemas.microsoft.com/office/drawing/2014/chart" uri="{C3380CC4-5D6E-409C-BE32-E72D297353CC}">
              <c16:uniqueId val="{00000001-F014-49D2-993F-01A96D9954A3}"/>
            </c:ext>
          </c:extLst>
        </c:ser>
        <c:ser>
          <c:idx val="2"/>
          <c:order val="2"/>
          <c:tx>
            <c:strRef>
              <c:f>Sheet1!$D$1</c:f>
              <c:strCache>
                <c:ptCount val="1"/>
                <c:pt idx="0">
                  <c:v>2014-15</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#,##0</c:formatCode>
                <c:ptCount val="4"/>
                <c:pt idx="0">
                  <c:v>1167</c:v>
                </c:pt>
                <c:pt idx="1">
                  <c:v>850</c:v>
                </c:pt>
                <c:pt idx="2">
                  <c:v>1250</c:v>
                </c:pt>
                <c:pt idx="3">
                  <c:v>3267</c:v>
                </c:pt>
              </c:numCache>
            </c:numRef>
          </c:val>
          <c:extLst xmlns:c16r2="http://schemas.microsoft.com/office/drawing/2015/06/chart">
            <c:ext xmlns:c16="http://schemas.microsoft.com/office/drawing/2014/chart" uri="{C3380CC4-5D6E-409C-BE32-E72D297353CC}">
              <c16:uniqueId val="{00000002-F014-49D2-993F-01A96D9954A3}"/>
            </c:ext>
          </c:extLst>
        </c:ser>
        <c:ser>
          <c:idx val="3"/>
          <c:order val="3"/>
          <c:tx>
            <c:strRef>
              <c:f>Sheet1!$E$1</c:f>
              <c:strCache>
                <c:ptCount val="1"/>
                <c:pt idx="0">
                  <c:v>2015-16</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#,##0</c:formatCode>
                <c:ptCount val="4"/>
                <c:pt idx="0">
                  <c:v>1302</c:v>
                </c:pt>
                <c:pt idx="1">
                  <c:v>759</c:v>
                </c:pt>
                <c:pt idx="2">
                  <c:v>1075</c:v>
                </c:pt>
                <c:pt idx="3">
                  <c:v>3136</c:v>
                </c:pt>
              </c:numCache>
            </c:numRef>
          </c:val>
          <c:extLst xmlns:c16r2="http://schemas.microsoft.com/office/drawing/2015/06/chart">
            <c:ext xmlns:c16="http://schemas.microsoft.com/office/drawing/2014/chart" uri="{C3380CC4-5D6E-409C-BE32-E72D297353CC}">
              <c16:uniqueId val="{00000003-F014-49D2-993F-01A96D9954A3}"/>
            </c:ext>
          </c:extLst>
        </c:ser>
        <c:ser>
          <c:idx val="4"/>
          <c:order val="4"/>
          <c:tx>
            <c:strRef>
              <c:f>Sheet1!$F$1</c:f>
              <c:strCache>
                <c:ptCount val="1"/>
                <c:pt idx="0">
                  <c:v>2016-17</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Sheet1!$F$2:$F$5</c:f>
              <c:numCache>
                <c:formatCode>#,##0</c:formatCode>
                <c:ptCount val="4"/>
                <c:pt idx="0">
                  <c:v>1387</c:v>
                </c:pt>
                <c:pt idx="1">
                  <c:v>772</c:v>
                </c:pt>
                <c:pt idx="2">
                  <c:v>1228</c:v>
                </c:pt>
                <c:pt idx="3">
                  <c:v>3387</c:v>
                </c:pt>
              </c:numCache>
            </c:numRef>
          </c:val>
          <c:extLst xmlns:c16r2="http://schemas.microsoft.com/office/drawing/2015/06/chart">
            <c:ext xmlns:c16="http://schemas.microsoft.com/office/drawing/2014/chart" uri="{C3380CC4-5D6E-409C-BE32-E72D297353CC}">
              <c16:uniqueId val="{00000004-F014-49D2-993F-01A96D9954A3}"/>
            </c:ext>
          </c:extLst>
        </c:ser>
        <c:dLbls>
          <c:showLegendKey val="0"/>
          <c:showVal val="0"/>
          <c:showCatName val="0"/>
          <c:showSerName val="0"/>
          <c:showPercent val="0"/>
          <c:showBubbleSize val="0"/>
        </c:dLbls>
        <c:gapWidth val="150"/>
        <c:axId val="241523056"/>
        <c:axId val="241523448"/>
      </c:barChart>
      <c:catAx>
        <c:axId val="241523056"/>
        <c:scaling>
          <c:orientation val="minMax"/>
        </c:scaling>
        <c:delete val="0"/>
        <c:axPos val="b"/>
        <c:numFmt formatCode="General" sourceLinked="0"/>
        <c:majorTickMark val="out"/>
        <c:minorTickMark val="none"/>
        <c:tickLblPos val="nextTo"/>
        <c:crossAx val="241523448"/>
        <c:crosses val="autoZero"/>
        <c:auto val="1"/>
        <c:lblAlgn val="ctr"/>
        <c:lblOffset val="100"/>
        <c:noMultiLvlLbl val="0"/>
      </c:catAx>
      <c:valAx>
        <c:axId val="24152344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241523056"/>
        <c:crosses val="autoZero"/>
        <c:crossBetween val="between"/>
      </c:valAx>
    </c:plotArea>
    <c:legend>
      <c:legendPos val="b"/>
      <c:layout>
        <c:manualLayout>
          <c:xMode val="edge"/>
          <c:yMode val="edge"/>
          <c:x val="0.29984459274156688"/>
          <c:y val="0.92132033210510667"/>
          <c:w val="0.48777206167631093"/>
          <c:h val="6.9900036639406027E-2"/>
        </c:manualLayout>
      </c:layout>
      <c:overlay val="0"/>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Calibri" pitchFamily="34" charset="0"/>
                <a:ea typeface="+mn-ea"/>
                <a:cs typeface="+mn-cs"/>
              </a:defRPr>
            </a:pPr>
            <a:r>
              <a:rPr lang="en-US" sz="1050" b="1" i="0" u="none" strike="noStrike" baseline="0">
                <a:effectLst/>
              </a:rPr>
              <a:t>Annual Headcount of EOPS  Students </a:t>
            </a:r>
            <a:endParaRPr lang="en-US" sz="1050"/>
          </a:p>
        </c:rich>
      </c:tx>
      <c:layout>
        <c:manualLayout>
          <c:xMode val="edge"/>
          <c:yMode val="edge"/>
          <c:x val="0.34362429879506395"/>
          <c:y val="5.3937432578209281E-3"/>
        </c:manualLayout>
      </c:layout>
      <c:overlay val="1"/>
      <c:spPr>
        <a:noFill/>
        <a:ln>
          <a:noFill/>
        </a:ln>
        <a:effectLst/>
      </c:spPr>
    </c:title>
    <c:autoTitleDeleted val="0"/>
    <c:plotArea>
      <c:layout>
        <c:manualLayout>
          <c:layoutTarget val="inner"/>
          <c:xMode val="edge"/>
          <c:yMode val="edge"/>
          <c:x val="2.8677209184082796E-2"/>
          <c:y val="8.6841313510509985E-2"/>
          <c:w val="0.97131977054904339"/>
          <c:h val="0.71936340327401282"/>
        </c:manualLayout>
      </c:layout>
      <c:barChart>
        <c:barDir val="col"/>
        <c:grouping val="clustered"/>
        <c:varyColors val="0"/>
        <c:ser>
          <c:idx val="0"/>
          <c:order val="0"/>
          <c:tx>
            <c:strRef>
              <c:f>Sheet1!$B$1</c:f>
              <c:strCache>
                <c:ptCount val="1"/>
                <c:pt idx="0">
                  <c:v>2012-13</c:v>
                </c:pt>
              </c:strCache>
            </c:strRef>
          </c:tx>
          <c:spPr>
            <a:solidFill>
              <a:schemeClr val="accent5">
                <a:shade val="53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Sheet1!$B$2:$B$5</c:f>
              <c:numCache>
                <c:formatCode>##,##0</c:formatCode>
                <c:ptCount val="4"/>
                <c:pt idx="0">
                  <c:v>144</c:v>
                </c:pt>
                <c:pt idx="1">
                  <c:v>967</c:v>
                </c:pt>
                <c:pt idx="2">
                  <c:v>1018</c:v>
                </c:pt>
                <c:pt idx="3" formatCode="#,##0">
                  <c:v>2129</c:v>
                </c:pt>
              </c:numCache>
            </c:numRef>
          </c:val>
          <c:extLst xmlns:c16r2="http://schemas.microsoft.com/office/drawing/2015/06/chart">
            <c:ext xmlns:c16="http://schemas.microsoft.com/office/drawing/2014/chart" uri="{C3380CC4-5D6E-409C-BE32-E72D297353CC}">
              <c16:uniqueId val="{00000000-C2EC-4C49-9381-A177579445D1}"/>
            </c:ext>
          </c:extLst>
        </c:ser>
        <c:ser>
          <c:idx val="1"/>
          <c:order val="1"/>
          <c:tx>
            <c:strRef>
              <c:f>Sheet1!$C$1</c:f>
              <c:strCache>
                <c:ptCount val="1"/>
                <c:pt idx="0">
                  <c:v>2013-14</c:v>
                </c:pt>
              </c:strCache>
            </c:strRef>
          </c:tx>
          <c:spPr>
            <a:solidFill>
              <a:schemeClr val="accent5">
                <a:shade val="76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##,##0</c:formatCode>
                <c:ptCount val="4"/>
                <c:pt idx="0">
                  <c:v>143</c:v>
                </c:pt>
                <c:pt idx="1">
                  <c:v>895</c:v>
                </c:pt>
                <c:pt idx="2">
                  <c:v>1277</c:v>
                </c:pt>
                <c:pt idx="3" formatCode="#,##0">
                  <c:v>2315</c:v>
                </c:pt>
              </c:numCache>
            </c:numRef>
          </c:val>
          <c:extLst xmlns:c16r2="http://schemas.microsoft.com/office/drawing/2015/06/chart">
            <c:ext xmlns:c16="http://schemas.microsoft.com/office/drawing/2014/chart" uri="{C3380CC4-5D6E-409C-BE32-E72D297353CC}">
              <c16:uniqueId val="{00000001-C2EC-4C49-9381-A177579445D1}"/>
            </c:ext>
          </c:extLst>
        </c:ser>
        <c:ser>
          <c:idx val="2"/>
          <c:order val="2"/>
          <c:tx>
            <c:strRef>
              <c:f>Sheet1!$D$1</c:f>
              <c:strCache>
                <c:ptCount val="1"/>
                <c:pt idx="0">
                  <c:v>2014-15</c:v>
                </c:pt>
              </c:strCache>
            </c:strRef>
          </c:tx>
          <c:spPr>
            <a:solidFill>
              <a:schemeClr val="accent5"/>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##,##0</c:formatCode>
                <c:ptCount val="4"/>
                <c:pt idx="0">
                  <c:v>165</c:v>
                </c:pt>
                <c:pt idx="1">
                  <c:v>878</c:v>
                </c:pt>
                <c:pt idx="2">
                  <c:v>1353</c:v>
                </c:pt>
                <c:pt idx="3" formatCode="#,##0">
                  <c:v>2396</c:v>
                </c:pt>
              </c:numCache>
            </c:numRef>
          </c:val>
          <c:extLst xmlns:c16r2="http://schemas.microsoft.com/office/drawing/2015/06/chart">
            <c:ext xmlns:c16="http://schemas.microsoft.com/office/drawing/2014/chart" uri="{C3380CC4-5D6E-409C-BE32-E72D297353CC}">
              <c16:uniqueId val="{00000002-C2EC-4C49-9381-A177579445D1}"/>
            </c:ext>
          </c:extLst>
        </c:ser>
        <c:ser>
          <c:idx val="3"/>
          <c:order val="3"/>
          <c:tx>
            <c:strRef>
              <c:f>Sheet1!$E$1</c:f>
              <c:strCache>
                <c:ptCount val="1"/>
                <c:pt idx="0">
                  <c:v>2015-16</c:v>
                </c:pt>
              </c:strCache>
            </c:strRef>
          </c:tx>
          <c:spPr>
            <a:solidFill>
              <a:schemeClr val="accent5">
                <a:tint val="77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##,##0</c:formatCode>
                <c:ptCount val="4"/>
                <c:pt idx="0">
                  <c:v>207</c:v>
                </c:pt>
                <c:pt idx="1">
                  <c:v>852</c:v>
                </c:pt>
                <c:pt idx="2">
                  <c:v>1473</c:v>
                </c:pt>
                <c:pt idx="3" formatCode="#,##0">
                  <c:v>2532</c:v>
                </c:pt>
              </c:numCache>
            </c:numRef>
          </c:val>
          <c:extLst xmlns:c16r2="http://schemas.microsoft.com/office/drawing/2015/06/chart">
            <c:ext xmlns:c16="http://schemas.microsoft.com/office/drawing/2014/chart" uri="{C3380CC4-5D6E-409C-BE32-E72D297353CC}">
              <c16:uniqueId val="{00000003-C2EC-4C49-9381-A177579445D1}"/>
            </c:ext>
          </c:extLst>
        </c:ser>
        <c:ser>
          <c:idx val="4"/>
          <c:order val="4"/>
          <c:tx>
            <c:strRef>
              <c:f>Sheet1!$F$1</c:f>
              <c:strCache>
                <c:ptCount val="1"/>
                <c:pt idx="0">
                  <c:v>2016-17</c:v>
                </c:pt>
              </c:strCache>
            </c:strRef>
          </c:tx>
          <c:spPr>
            <a:solidFill>
              <a:schemeClr val="accent5">
                <a:tint val="54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Sheet1!$F$2:$F$5</c:f>
              <c:numCache>
                <c:formatCode>##,##0</c:formatCode>
                <c:ptCount val="4"/>
                <c:pt idx="0">
                  <c:v>393</c:v>
                </c:pt>
                <c:pt idx="1">
                  <c:v>904</c:v>
                </c:pt>
                <c:pt idx="2">
                  <c:v>1529</c:v>
                </c:pt>
                <c:pt idx="3" formatCode="#,##0">
                  <c:v>2826</c:v>
                </c:pt>
              </c:numCache>
            </c:numRef>
          </c:val>
          <c:extLst xmlns:c16r2="http://schemas.microsoft.com/office/drawing/2015/06/chart">
            <c:ext xmlns:c16="http://schemas.microsoft.com/office/drawing/2014/chart" uri="{C3380CC4-5D6E-409C-BE32-E72D297353CC}">
              <c16:uniqueId val="{00000004-C2EC-4C49-9381-A177579445D1}"/>
            </c:ext>
          </c:extLst>
        </c:ser>
        <c:dLbls>
          <c:showLegendKey val="0"/>
          <c:showVal val="0"/>
          <c:showCatName val="0"/>
          <c:showSerName val="0"/>
          <c:showPercent val="0"/>
          <c:showBubbleSize val="0"/>
        </c:dLbls>
        <c:gapWidth val="150"/>
        <c:axId val="241524232"/>
        <c:axId val="241524624"/>
      </c:barChart>
      <c:catAx>
        <c:axId val="24152423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1524624"/>
        <c:crosses val="autoZero"/>
        <c:auto val="1"/>
        <c:lblAlgn val="ctr"/>
        <c:lblOffset val="100"/>
        <c:noMultiLvlLbl val="0"/>
      </c:catAx>
      <c:valAx>
        <c:axId val="241524624"/>
        <c:scaling>
          <c:orientation val="minMax"/>
        </c:scaling>
        <c:delete val="0"/>
        <c:axPos val="l"/>
        <c:majorGridlines>
          <c:spPr>
            <a:ln w="9525" cap="flat" cmpd="sng" algn="ctr">
              <a:solidFill>
                <a:schemeClr val="bg1">
                  <a:lumMod val="8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1524232"/>
        <c:crosses val="autoZero"/>
        <c:crossBetween val="between"/>
      </c:valAx>
      <c:spPr>
        <a:solidFill>
          <a:schemeClr val="bg1"/>
        </a:solidFill>
        <a:ln>
          <a:noFill/>
        </a:ln>
        <a:effectLst/>
      </c:spPr>
    </c:plotArea>
    <c:legend>
      <c:legendPos val="b"/>
      <c:layout>
        <c:manualLayout>
          <c:xMode val="edge"/>
          <c:yMode val="edge"/>
          <c:x val="0.2929790798139193"/>
          <c:y val="0.93010006030799552"/>
          <c:w val="0.48282857503186727"/>
          <c:h val="6.98999396920045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Calibri"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en-US" sz="1050"/>
              <a:t>Economically Disadvantaged Students</a:t>
            </a:r>
          </a:p>
        </c:rich>
      </c:tx>
      <c:layout>
        <c:manualLayout>
          <c:xMode val="edge"/>
          <c:yMode val="edge"/>
          <c:x val="0.35057881672524993"/>
          <c:y val="0"/>
        </c:manualLayout>
      </c:layout>
      <c:overlay val="1"/>
    </c:title>
    <c:autoTitleDeleted val="0"/>
    <c:plotArea>
      <c:layout>
        <c:manualLayout>
          <c:layoutTarget val="inner"/>
          <c:xMode val="edge"/>
          <c:yMode val="edge"/>
          <c:x val="7.1846921441468398E-2"/>
          <c:y val="0.10304249131020783"/>
          <c:w val="0.92753611209873765"/>
          <c:h val="0.69735112898121776"/>
        </c:manualLayout>
      </c:layout>
      <c:barChart>
        <c:barDir val="col"/>
        <c:grouping val="clustered"/>
        <c:varyColors val="0"/>
        <c:ser>
          <c:idx val="0"/>
          <c:order val="0"/>
          <c:tx>
            <c:strRef>
              <c:f>Sheet1!$B$1</c:f>
              <c:strCache>
                <c:ptCount val="1"/>
                <c:pt idx="0">
                  <c:v>2012-13</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Sheet1!$B$2:$B$5</c:f>
              <c:numCache>
                <c:formatCode>#,##0</c:formatCode>
                <c:ptCount val="4"/>
                <c:pt idx="0">
                  <c:v>10220</c:v>
                </c:pt>
                <c:pt idx="1">
                  <c:v>8740</c:v>
                </c:pt>
                <c:pt idx="2">
                  <c:v>12530</c:v>
                </c:pt>
                <c:pt idx="3">
                  <c:v>28292</c:v>
                </c:pt>
              </c:numCache>
            </c:numRef>
          </c:val>
          <c:extLst xmlns:c16r2="http://schemas.microsoft.com/office/drawing/2015/06/chart">
            <c:ext xmlns:c16="http://schemas.microsoft.com/office/drawing/2014/chart" uri="{C3380CC4-5D6E-409C-BE32-E72D297353CC}">
              <c16:uniqueId val="{00000000-5A3F-4297-B53C-19E4F6EB73EF}"/>
            </c:ext>
          </c:extLst>
        </c:ser>
        <c:ser>
          <c:idx val="1"/>
          <c:order val="1"/>
          <c:tx>
            <c:strRef>
              <c:f>Sheet1!$C$1</c:f>
              <c:strCache>
                <c:ptCount val="1"/>
                <c:pt idx="0">
                  <c:v>2013-14</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#,##0</c:formatCode>
                <c:ptCount val="4"/>
                <c:pt idx="0">
                  <c:v>10329</c:v>
                </c:pt>
                <c:pt idx="1">
                  <c:v>9920</c:v>
                </c:pt>
                <c:pt idx="2">
                  <c:v>12991</c:v>
                </c:pt>
                <c:pt idx="3">
                  <c:v>29152</c:v>
                </c:pt>
              </c:numCache>
            </c:numRef>
          </c:val>
          <c:extLst xmlns:c16r2="http://schemas.microsoft.com/office/drawing/2015/06/chart">
            <c:ext xmlns:c16="http://schemas.microsoft.com/office/drawing/2014/chart" uri="{C3380CC4-5D6E-409C-BE32-E72D297353CC}">
              <c16:uniqueId val="{00000001-5A3F-4297-B53C-19E4F6EB73EF}"/>
            </c:ext>
          </c:extLst>
        </c:ser>
        <c:ser>
          <c:idx val="2"/>
          <c:order val="2"/>
          <c:tx>
            <c:strRef>
              <c:f>Sheet1!$D$1</c:f>
              <c:strCache>
                <c:ptCount val="1"/>
                <c:pt idx="0">
                  <c:v>2014-15</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#,##0</c:formatCode>
                <c:ptCount val="4"/>
                <c:pt idx="0">
                  <c:v>14905</c:v>
                </c:pt>
                <c:pt idx="1">
                  <c:v>10024</c:v>
                </c:pt>
                <c:pt idx="2">
                  <c:v>14494</c:v>
                </c:pt>
                <c:pt idx="3">
                  <c:v>35477</c:v>
                </c:pt>
              </c:numCache>
            </c:numRef>
          </c:val>
          <c:extLst xmlns:c16r2="http://schemas.microsoft.com/office/drawing/2015/06/chart">
            <c:ext xmlns:c16="http://schemas.microsoft.com/office/drawing/2014/chart" uri="{C3380CC4-5D6E-409C-BE32-E72D297353CC}">
              <c16:uniqueId val="{00000002-5A3F-4297-B53C-19E4F6EB73EF}"/>
            </c:ext>
          </c:extLst>
        </c:ser>
        <c:ser>
          <c:idx val="3"/>
          <c:order val="3"/>
          <c:tx>
            <c:strRef>
              <c:f>Sheet1!$E$1</c:f>
              <c:strCache>
                <c:ptCount val="1"/>
                <c:pt idx="0">
                  <c:v>2015-16</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#,##0</c:formatCode>
                <c:ptCount val="4"/>
                <c:pt idx="0">
                  <c:v>14988</c:v>
                </c:pt>
                <c:pt idx="1">
                  <c:v>9582</c:v>
                </c:pt>
                <c:pt idx="2">
                  <c:v>14563</c:v>
                </c:pt>
                <c:pt idx="3">
                  <c:v>35205</c:v>
                </c:pt>
              </c:numCache>
            </c:numRef>
          </c:val>
          <c:extLst xmlns:c16r2="http://schemas.microsoft.com/office/drawing/2015/06/chart">
            <c:ext xmlns:c16="http://schemas.microsoft.com/office/drawing/2014/chart" uri="{C3380CC4-5D6E-409C-BE32-E72D297353CC}">
              <c16:uniqueId val="{00000003-5A3F-4297-B53C-19E4F6EB73EF}"/>
            </c:ext>
          </c:extLst>
        </c:ser>
        <c:ser>
          <c:idx val="4"/>
          <c:order val="4"/>
          <c:tx>
            <c:strRef>
              <c:f>Sheet1!$F$1</c:f>
              <c:strCache>
                <c:ptCount val="1"/>
                <c:pt idx="0">
                  <c:v>2016-17</c:v>
                </c:pt>
              </c:strCache>
            </c:strRef>
          </c:tx>
          <c:invertIfNegative val="0"/>
          <c:dLbls>
            <c:dLbl>
              <c:idx val="3"/>
              <c:layout>
                <c:manualLayout>
                  <c:x val="7.2365445499772531E-3"/>
                  <c:y val="4.50450450450450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5C-45B5-8221-8B3AF0BBEE9A}"/>
                </c:ext>
                <c:ext xmlns:c15="http://schemas.microsoft.com/office/drawing/2012/chart" uri="{CE6537A1-D6FC-4f65-9D91-7224C49458BB}"/>
              </c:extLst>
            </c:dLbl>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Coastline</c:v>
                </c:pt>
                <c:pt idx="1">
                  <c:v>Golden West</c:v>
                </c:pt>
                <c:pt idx="2">
                  <c:v>Orange Coast</c:v>
                </c:pt>
                <c:pt idx="3">
                  <c:v>District-wide</c:v>
                </c:pt>
              </c:strCache>
            </c:strRef>
          </c:cat>
          <c:val>
            <c:numRef>
              <c:f>Sheet1!$F$2:$F$5</c:f>
              <c:numCache>
                <c:formatCode>#,##0</c:formatCode>
                <c:ptCount val="4"/>
                <c:pt idx="0">
                  <c:v>13061</c:v>
                </c:pt>
                <c:pt idx="1">
                  <c:v>8838</c:v>
                </c:pt>
                <c:pt idx="2">
                  <c:v>13472</c:v>
                </c:pt>
                <c:pt idx="3">
                  <c:v>31866</c:v>
                </c:pt>
              </c:numCache>
            </c:numRef>
          </c:val>
          <c:extLst xmlns:c16r2="http://schemas.microsoft.com/office/drawing/2015/06/chart">
            <c:ext xmlns:c16="http://schemas.microsoft.com/office/drawing/2014/chart" uri="{C3380CC4-5D6E-409C-BE32-E72D297353CC}">
              <c16:uniqueId val="{00000000-265C-45B5-8221-8B3AF0BBEE9A}"/>
            </c:ext>
          </c:extLst>
        </c:ser>
        <c:dLbls>
          <c:showLegendKey val="0"/>
          <c:showVal val="0"/>
          <c:showCatName val="0"/>
          <c:showSerName val="0"/>
          <c:showPercent val="0"/>
          <c:showBubbleSize val="0"/>
        </c:dLbls>
        <c:gapWidth val="150"/>
        <c:axId val="241525408"/>
        <c:axId val="241525800"/>
      </c:barChart>
      <c:catAx>
        <c:axId val="241525408"/>
        <c:scaling>
          <c:orientation val="minMax"/>
        </c:scaling>
        <c:delete val="0"/>
        <c:axPos val="b"/>
        <c:numFmt formatCode="General" sourceLinked="0"/>
        <c:majorTickMark val="out"/>
        <c:minorTickMark val="none"/>
        <c:tickLblPos val="nextTo"/>
        <c:crossAx val="241525800"/>
        <c:crosses val="autoZero"/>
        <c:auto val="1"/>
        <c:lblAlgn val="ctr"/>
        <c:lblOffset val="100"/>
        <c:noMultiLvlLbl val="0"/>
      </c:catAx>
      <c:valAx>
        <c:axId val="241525800"/>
        <c:scaling>
          <c:orientation val="minMax"/>
          <c:max val="50000"/>
        </c:scaling>
        <c:delete val="0"/>
        <c:axPos val="l"/>
        <c:majorGridlines>
          <c:spPr>
            <a:ln>
              <a:solidFill>
                <a:schemeClr val="bg1">
                  <a:lumMod val="85000"/>
                </a:schemeClr>
              </a:solidFill>
            </a:ln>
          </c:spPr>
        </c:majorGridlines>
        <c:numFmt formatCode="#,##0" sourceLinked="0"/>
        <c:majorTickMark val="out"/>
        <c:minorTickMark val="none"/>
        <c:tickLblPos val="nextTo"/>
        <c:crossAx val="241525408"/>
        <c:crosses val="autoZero"/>
        <c:crossBetween val="between"/>
      </c:valAx>
    </c:plotArea>
    <c:legend>
      <c:legendPos val="b"/>
      <c:layout>
        <c:manualLayout>
          <c:xMode val="edge"/>
          <c:yMode val="edge"/>
          <c:x val="0.29468406001488617"/>
          <c:y val="0.91970596580832797"/>
          <c:w val="0.48265387450720626"/>
          <c:h val="8.0294034191671984E-2"/>
        </c:manualLayout>
      </c:layout>
      <c:overlay val="0"/>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en-US" sz="1050" b="1" i="0" u="none" strike="noStrike" baseline="0">
                <a:effectLst/>
              </a:rPr>
              <a:t>Total Dollars Awarded in Financial Aid</a:t>
            </a:r>
            <a:endParaRPr lang="en-US" sz="1050"/>
          </a:p>
        </c:rich>
      </c:tx>
      <c:layout>
        <c:manualLayout>
          <c:xMode val="edge"/>
          <c:yMode val="edge"/>
          <c:x val="0.34320180657961175"/>
          <c:y val="0"/>
        </c:manualLayout>
      </c:layout>
      <c:overlay val="1"/>
    </c:title>
    <c:autoTitleDeleted val="0"/>
    <c:plotArea>
      <c:layout>
        <c:manualLayout>
          <c:layoutTarget val="inner"/>
          <c:xMode val="edge"/>
          <c:yMode val="edge"/>
          <c:x val="0.10312491773442931"/>
          <c:y val="9.4157885203456471E-2"/>
          <c:w val="0.89687513033473554"/>
          <c:h val="0.73581226179651371"/>
        </c:manualLayout>
      </c:layout>
      <c:barChart>
        <c:barDir val="col"/>
        <c:grouping val="clustered"/>
        <c:varyColors val="0"/>
        <c:ser>
          <c:idx val="0"/>
          <c:order val="0"/>
          <c:tx>
            <c:strRef>
              <c:f>Sheet1!$B$1</c:f>
              <c:strCache>
                <c:ptCount val="1"/>
                <c:pt idx="0">
                  <c:v>2012-13</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Sheet1!$B$2:$B$5</c:f>
              <c:numCache>
                <c:formatCode>#,##0</c:formatCode>
                <c:ptCount val="4"/>
                <c:pt idx="0">
                  <c:v>17912653</c:v>
                </c:pt>
                <c:pt idx="1">
                  <c:v>22960567</c:v>
                </c:pt>
                <c:pt idx="2">
                  <c:v>29696935</c:v>
                </c:pt>
                <c:pt idx="3">
                  <c:v>70570155</c:v>
                </c:pt>
              </c:numCache>
            </c:numRef>
          </c:val>
          <c:extLst xmlns:c16r2="http://schemas.microsoft.com/office/drawing/2015/06/chart">
            <c:ext xmlns:c16="http://schemas.microsoft.com/office/drawing/2014/chart" uri="{C3380CC4-5D6E-409C-BE32-E72D297353CC}">
              <c16:uniqueId val="{00000000-365B-4BA6-8192-522BEC703971}"/>
            </c:ext>
          </c:extLst>
        </c:ser>
        <c:ser>
          <c:idx val="1"/>
          <c:order val="1"/>
          <c:tx>
            <c:strRef>
              <c:f>Sheet1!$C$1</c:f>
              <c:strCache>
                <c:ptCount val="1"/>
                <c:pt idx="0">
                  <c:v>2013-14</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#,##0</c:formatCode>
                <c:ptCount val="4"/>
                <c:pt idx="0">
                  <c:v>18018079</c:v>
                </c:pt>
                <c:pt idx="1">
                  <c:v>23797213</c:v>
                </c:pt>
                <c:pt idx="2">
                  <c:v>35495560</c:v>
                </c:pt>
                <c:pt idx="3">
                  <c:v>77310852</c:v>
                </c:pt>
              </c:numCache>
            </c:numRef>
          </c:val>
          <c:extLst xmlns:c16r2="http://schemas.microsoft.com/office/drawing/2015/06/chart">
            <c:ext xmlns:c16="http://schemas.microsoft.com/office/drawing/2014/chart" uri="{C3380CC4-5D6E-409C-BE32-E72D297353CC}">
              <c16:uniqueId val="{00000001-365B-4BA6-8192-522BEC703971}"/>
            </c:ext>
          </c:extLst>
        </c:ser>
        <c:ser>
          <c:idx val="2"/>
          <c:order val="2"/>
          <c:tx>
            <c:strRef>
              <c:f>Sheet1!$D$1</c:f>
              <c:strCache>
                <c:ptCount val="1"/>
                <c:pt idx="0">
                  <c:v>2014-15</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#,##0</c:formatCode>
                <c:ptCount val="4"/>
                <c:pt idx="0">
                  <c:v>21057973</c:v>
                </c:pt>
                <c:pt idx="1">
                  <c:v>25223880</c:v>
                </c:pt>
                <c:pt idx="2">
                  <c:v>39496265</c:v>
                </c:pt>
                <c:pt idx="3">
                  <c:v>85778118</c:v>
                </c:pt>
              </c:numCache>
            </c:numRef>
          </c:val>
          <c:extLst xmlns:c16r2="http://schemas.microsoft.com/office/drawing/2015/06/chart">
            <c:ext xmlns:c16="http://schemas.microsoft.com/office/drawing/2014/chart" uri="{C3380CC4-5D6E-409C-BE32-E72D297353CC}">
              <c16:uniqueId val="{00000002-365B-4BA6-8192-522BEC703971}"/>
            </c:ext>
          </c:extLst>
        </c:ser>
        <c:ser>
          <c:idx val="3"/>
          <c:order val="3"/>
          <c:tx>
            <c:strRef>
              <c:f>Sheet1!$E$1</c:f>
              <c:strCache>
                <c:ptCount val="1"/>
                <c:pt idx="0">
                  <c:v>2015-16</c:v>
                </c:pt>
              </c:strCache>
            </c:strRef>
          </c:tx>
          <c:invertIfNegative val="0"/>
          <c:dLbls>
            <c:dLbl>
              <c:idx val="3"/>
              <c:layout>
                <c:manualLayout>
                  <c:x val="-1.807174482696304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5B-4BA6-8192-522BEC703971}"/>
                </c:ext>
                <c:ext xmlns:c15="http://schemas.microsoft.com/office/drawing/2012/chart" uri="{CE6537A1-D6FC-4f65-9D91-7224C49458BB}"/>
              </c:extLst>
            </c:dLbl>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#,##0</c:formatCode>
                <c:ptCount val="4"/>
                <c:pt idx="0">
                  <c:v>20480430</c:v>
                </c:pt>
                <c:pt idx="1">
                  <c:v>22723165</c:v>
                </c:pt>
                <c:pt idx="2">
                  <c:v>39755723</c:v>
                </c:pt>
                <c:pt idx="3">
                  <c:v>82959318</c:v>
                </c:pt>
              </c:numCache>
            </c:numRef>
          </c:val>
          <c:extLst xmlns:c16r2="http://schemas.microsoft.com/office/drawing/2015/06/chart">
            <c:ext xmlns:c16="http://schemas.microsoft.com/office/drawing/2014/chart" uri="{C3380CC4-5D6E-409C-BE32-E72D297353CC}">
              <c16:uniqueId val="{00000004-365B-4BA6-8192-522BEC703971}"/>
            </c:ext>
          </c:extLst>
        </c:ser>
        <c:ser>
          <c:idx val="4"/>
          <c:order val="4"/>
          <c:tx>
            <c:strRef>
              <c:f>Sheet1!$F$1</c:f>
              <c:strCache>
                <c:ptCount val="1"/>
                <c:pt idx="0">
                  <c:v>2016-17</c:v>
                </c:pt>
              </c:strCache>
            </c:strRef>
          </c:tx>
          <c:invertIfNegative val="0"/>
          <c:dLbls>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Coastline</c:v>
                </c:pt>
                <c:pt idx="1">
                  <c:v>Golden West</c:v>
                </c:pt>
                <c:pt idx="2">
                  <c:v>Orange Coast</c:v>
                </c:pt>
                <c:pt idx="3">
                  <c:v>District-wide</c:v>
                </c:pt>
              </c:strCache>
            </c:strRef>
          </c:cat>
          <c:val>
            <c:numRef>
              <c:f>Sheet1!$F$2:$F$5</c:f>
              <c:numCache>
                <c:formatCode>#,##0</c:formatCode>
                <c:ptCount val="4"/>
                <c:pt idx="0">
                  <c:v>29841514</c:v>
                </c:pt>
                <c:pt idx="1">
                  <c:v>19913962</c:v>
                </c:pt>
                <c:pt idx="2">
                  <c:v>38607111</c:v>
                </c:pt>
                <c:pt idx="3">
                  <c:v>88362587</c:v>
                </c:pt>
              </c:numCache>
            </c:numRef>
          </c:val>
          <c:extLst xmlns:c16r2="http://schemas.microsoft.com/office/drawing/2015/06/chart">
            <c:ext xmlns:c16="http://schemas.microsoft.com/office/drawing/2014/chart" uri="{C3380CC4-5D6E-409C-BE32-E72D297353CC}">
              <c16:uniqueId val="{00000000-121B-471C-8752-4DE4A928C119}"/>
            </c:ext>
          </c:extLst>
        </c:ser>
        <c:dLbls>
          <c:showLegendKey val="0"/>
          <c:showVal val="0"/>
          <c:showCatName val="0"/>
          <c:showSerName val="0"/>
          <c:showPercent val="0"/>
          <c:showBubbleSize val="0"/>
        </c:dLbls>
        <c:gapWidth val="150"/>
        <c:axId val="241526584"/>
        <c:axId val="241814976"/>
      </c:barChart>
      <c:catAx>
        <c:axId val="241526584"/>
        <c:scaling>
          <c:orientation val="minMax"/>
        </c:scaling>
        <c:delete val="0"/>
        <c:axPos val="b"/>
        <c:numFmt formatCode="General" sourceLinked="0"/>
        <c:majorTickMark val="out"/>
        <c:minorTickMark val="none"/>
        <c:tickLblPos val="nextTo"/>
        <c:crossAx val="241814976"/>
        <c:crosses val="autoZero"/>
        <c:auto val="1"/>
        <c:lblAlgn val="ctr"/>
        <c:lblOffset val="100"/>
        <c:noMultiLvlLbl val="0"/>
      </c:catAx>
      <c:valAx>
        <c:axId val="241814976"/>
        <c:scaling>
          <c:orientation val="minMax"/>
          <c:max val="100000000"/>
        </c:scaling>
        <c:delete val="0"/>
        <c:axPos val="l"/>
        <c:majorGridlines>
          <c:spPr>
            <a:ln>
              <a:solidFill>
                <a:schemeClr val="bg1">
                  <a:lumMod val="85000"/>
                </a:schemeClr>
              </a:solidFill>
            </a:ln>
          </c:spPr>
        </c:majorGridlines>
        <c:numFmt formatCode="#,##0" sourceLinked="0"/>
        <c:majorTickMark val="out"/>
        <c:minorTickMark val="none"/>
        <c:tickLblPos val="nextTo"/>
        <c:crossAx val="241526584"/>
        <c:crosses val="autoZero"/>
        <c:crossBetween val="between"/>
      </c:valAx>
    </c:plotArea>
    <c:legend>
      <c:legendPos val="b"/>
      <c:layout>
        <c:manualLayout>
          <c:xMode val="edge"/>
          <c:yMode val="edge"/>
          <c:x val="0.28553356826601611"/>
          <c:y val="0.92941484479528014"/>
          <c:w val="0.48213053064761591"/>
          <c:h val="6.9912674988698131E-2"/>
        </c:manualLayout>
      </c:layout>
      <c:overlay val="0"/>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en-US" sz="1050" b="1" i="0" u="none" strike="noStrike" baseline="0">
                <a:effectLst/>
              </a:rPr>
              <a:t>Credit Students with Student Visas</a:t>
            </a:r>
            <a:endParaRPr lang="en-US" sz="1050"/>
          </a:p>
        </c:rich>
      </c:tx>
      <c:layout>
        <c:manualLayout>
          <c:xMode val="edge"/>
          <c:yMode val="edge"/>
          <c:x val="0.356607345190534"/>
          <c:y val="0"/>
        </c:manualLayout>
      </c:layout>
      <c:overlay val="1"/>
    </c:title>
    <c:autoTitleDeleted val="0"/>
    <c:plotArea>
      <c:layout>
        <c:manualLayout>
          <c:layoutTarget val="inner"/>
          <c:xMode val="edge"/>
          <c:yMode val="edge"/>
          <c:x val="4.9648150989697132E-2"/>
          <c:y val="8.6841313510509985E-2"/>
          <c:w val="0.95035184985438459"/>
          <c:h val="0.74575134418877254"/>
        </c:manualLayout>
      </c:layout>
      <c:barChart>
        <c:barDir val="col"/>
        <c:grouping val="clustered"/>
        <c:varyColors val="0"/>
        <c:ser>
          <c:idx val="0"/>
          <c:order val="0"/>
          <c:tx>
            <c:strRef>
              <c:f>Sheet1!$B$1</c:f>
              <c:strCache>
                <c:ptCount val="1"/>
                <c:pt idx="0">
                  <c:v>Fall 2012</c:v>
                </c:pt>
              </c:strCache>
            </c:strRef>
          </c:tx>
          <c:invertIfNegative val="0"/>
          <c:dLbls>
            <c:dLbl>
              <c:idx val="2"/>
              <c:layout>
                <c:manualLayout>
                  <c:x val="-1.8264840182648401E-3"/>
                  <c:y val="8.62998921251348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68-42A9-9721-7C2695561078}"/>
                </c:ext>
                <c:ext xmlns:c15="http://schemas.microsoft.com/office/drawing/2012/chart" uri="{CE6537A1-D6FC-4f65-9D91-7224C49458BB}"/>
              </c:extLst>
            </c:dLbl>
            <c:dLbl>
              <c:idx val="3"/>
              <c:layout>
                <c:manualLayout>
                  <c:x val="-5.4794520547945206E-3"/>
                  <c:y val="2.58899676375403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DA-49BF-8B0C-09E719015189}"/>
                </c:ext>
                <c:ext xmlns:c15="http://schemas.microsoft.com/office/drawing/2012/chart" uri="{CE6537A1-D6FC-4f65-9D91-7224C49458BB}"/>
              </c:extLst>
            </c:dLbl>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Sheet1!$B$2:$B$5</c:f>
              <c:numCache>
                <c:formatCode>_(* #,##0_);_(* \(#,##0\);_(* "-"??_);_(@_)</c:formatCode>
                <c:ptCount val="4"/>
                <c:pt idx="0">
                  <c:v>47</c:v>
                </c:pt>
                <c:pt idx="1">
                  <c:v>169</c:v>
                </c:pt>
                <c:pt idx="2">
                  <c:v>594</c:v>
                </c:pt>
                <c:pt idx="3">
                  <c:v>810</c:v>
                </c:pt>
              </c:numCache>
            </c:numRef>
          </c:val>
          <c:extLst xmlns:c16r2="http://schemas.microsoft.com/office/drawing/2015/06/chart">
            <c:ext xmlns:c16="http://schemas.microsoft.com/office/drawing/2014/chart" uri="{C3380CC4-5D6E-409C-BE32-E72D297353CC}">
              <c16:uniqueId val="{00000001-5ADA-49BF-8B0C-09E719015189}"/>
            </c:ext>
          </c:extLst>
        </c:ser>
        <c:ser>
          <c:idx val="1"/>
          <c:order val="1"/>
          <c:tx>
            <c:strRef>
              <c:f>Sheet1!$C$1</c:f>
              <c:strCache>
                <c:ptCount val="1"/>
                <c:pt idx="0">
                  <c:v>Fall 2013</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_(* #,##0_);_(* \(#,##0\);_(* "-"??_);_(@_)</c:formatCode>
                <c:ptCount val="4"/>
                <c:pt idx="0">
                  <c:v>37</c:v>
                </c:pt>
                <c:pt idx="1">
                  <c:v>170</c:v>
                </c:pt>
                <c:pt idx="2">
                  <c:v>688</c:v>
                </c:pt>
                <c:pt idx="3">
                  <c:v>895</c:v>
                </c:pt>
              </c:numCache>
            </c:numRef>
          </c:val>
          <c:extLst xmlns:c16r2="http://schemas.microsoft.com/office/drawing/2015/06/chart">
            <c:ext xmlns:c16="http://schemas.microsoft.com/office/drawing/2014/chart" uri="{C3380CC4-5D6E-409C-BE32-E72D297353CC}">
              <c16:uniqueId val="{00000002-5ADA-49BF-8B0C-09E719015189}"/>
            </c:ext>
          </c:extLst>
        </c:ser>
        <c:ser>
          <c:idx val="2"/>
          <c:order val="2"/>
          <c:tx>
            <c:strRef>
              <c:f>Sheet1!$D$1</c:f>
              <c:strCache>
                <c:ptCount val="1"/>
                <c:pt idx="0">
                  <c:v>Fall 2014</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_(* #,##0_);_(* \(#,##0\);_(* "-"??_);_(@_)</c:formatCode>
                <c:ptCount val="4"/>
                <c:pt idx="0">
                  <c:v>62</c:v>
                </c:pt>
                <c:pt idx="1">
                  <c:v>204</c:v>
                </c:pt>
                <c:pt idx="2">
                  <c:v>851</c:v>
                </c:pt>
                <c:pt idx="3">
                  <c:v>1117</c:v>
                </c:pt>
              </c:numCache>
            </c:numRef>
          </c:val>
          <c:extLst xmlns:c16r2="http://schemas.microsoft.com/office/drawing/2015/06/chart">
            <c:ext xmlns:c16="http://schemas.microsoft.com/office/drawing/2014/chart" uri="{C3380CC4-5D6E-409C-BE32-E72D297353CC}">
              <c16:uniqueId val="{00000003-5ADA-49BF-8B0C-09E719015189}"/>
            </c:ext>
          </c:extLst>
        </c:ser>
        <c:ser>
          <c:idx val="3"/>
          <c:order val="3"/>
          <c:tx>
            <c:strRef>
              <c:f>Sheet1!$E$1</c:f>
              <c:strCache>
                <c:ptCount val="1"/>
                <c:pt idx="0">
                  <c:v>Fall 2015</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_(* #,##0_);_(* \(#,##0\);_(* "-"??_);_(@_)</c:formatCode>
                <c:ptCount val="4"/>
                <c:pt idx="0">
                  <c:v>100</c:v>
                </c:pt>
                <c:pt idx="1">
                  <c:v>250</c:v>
                </c:pt>
                <c:pt idx="2">
                  <c:v>1016</c:v>
                </c:pt>
                <c:pt idx="3">
                  <c:v>1366</c:v>
                </c:pt>
              </c:numCache>
            </c:numRef>
          </c:val>
          <c:extLst xmlns:c16r2="http://schemas.microsoft.com/office/drawing/2015/06/chart">
            <c:ext xmlns:c16="http://schemas.microsoft.com/office/drawing/2014/chart" uri="{C3380CC4-5D6E-409C-BE32-E72D297353CC}">
              <c16:uniqueId val="{00000004-5ADA-49BF-8B0C-09E719015189}"/>
            </c:ext>
          </c:extLst>
        </c:ser>
        <c:ser>
          <c:idx val="4"/>
          <c:order val="4"/>
          <c:tx>
            <c:strRef>
              <c:f>Sheet1!$F$1</c:f>
              <c:strCache>
                <c:ptCount val="1"/>
                <c:pt idx="0">
                  <c:v>Fall 2016</c:v>
                </c:pt>
              </c:strCache>
            </c:strRef>
          </c:tx>
          <c:invertIfNegative val="0"/>
          <c:dLbls>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Coastline</c:v>
                </c:pt>
                <c:pt idx="1">
                  <c:v>Golden West</c:v>
                </c:pt>
                <c:pt idx="2">
                  <c:v>Orange Coast</c:v>
                </c:pt>
                <c:pt idx="3">
                  <c:v>District-wide</c:v>
                </c:pt>
              </c:strCache>
            </c:strRef>
          </c:cat>
          <c:val>
            <c:numRef>
              <c:f>Sheet1!$F$2:$F$5</c:f>
              <c:numCache>
                <c:formatCode>_(* #,##0_);_(* \(#,##0\);_(* "-"??_);_(@_)</c:formatCode>
                <c:ptCount val="4"/>
                <c:pt idx="0">
                  <c:v>107</c:v>
                </c:pt>
                <c:pt idx="1">
                  <c:v>297</c:v>
                </c:pt>
                <c:pt idx="2">
                  <c:v>1133</c:v>
                </c:pt>
                <c:pt idx="3">
                  <c:v>1537</c:v>
                </c:pt>
              </c:numCache>
            </c:numRef>
          </c:val>
          <c:extLst xmlns:c16r2="http://schemas.microsoft.com/office/drawing/2015/06/chart">
            <c:ext xmlns:c16="http://schemas.microsoft.com/office/drawing/2014/chart" uri="{C3380CC4-5D6E-409C-BE32-E72D297353CC}">
              <c16:uniqueId val="{00000000-3B68-42A9-9721-7C2695561078}"/>
            </c:ext>
          </c:extLst>
        </c:ser>
        <c:dLbls>
          <c:showLegendKey val="0"/>
          <c:showVal val="0"/>
          <c:showCatName val="0"/>
          <c:showSerName val="0"/>
          <c:showPercent val="0"/>
          <c:showBubbleSize val="0"/>
        </c:dLbls>
        <c:gapWidth val="150"/>
        <c:axId val="241815760"/>
        <c:axId val="241816152"/>
      </c:barChart>
      <c:catAx>
        <c:axId val="241815760"/>
        <c:scaling>
          <c:orientation val="minMax"/>
        </c:scaling>
        <c:delete val="0"/>
        <c:axPos val="b"/>
        <c:numFmt formatCode="General" sourceLinked="0"/>
        <c:majorTickMark val="out"/>
        <c:minorTickMark val="none"/>
        <c:tickLblPos val="nextTo"/>
        <c:crossAx val="241816152"/>
        <c:crosses val="autoZero"/>
        <c:auto val="1"/>
        <c:lblAlgn val="ctr"/>
        <c:lblOffset val="100"/>
        <c:noMultiLvlLbl val="0"/>
      </c:catAx>
      <c:valAx>
        <c:axId val="241816152"/>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241815760"/>
        <c:crosses val="autoZero"/>
        <c:crossBetween val="between"/>
      </c:valAx>
    </c:plotArea>
    <c:legend>
      <c:legendPos val="b"/>
      <c:layout>
        <c:manualLayout>
          <c:xMode val="edge"/>
          <c:yMode val="edge"/>
          <c:x val="0.28127853881278536"/>
          <c:y val="0.92202295101461829"/>
          <c:w val="0.52054363067630249"/>
          <c:h val="7.7977048985381686E-2"/>
        </c:manualLayout>
      </c:layout>
      <c:overlay val="0"/>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en-US" sz="1050" b="1" i="0" u="none" strike="noStrike" baseline="0">
                <a:effectLst/>
              </a:rPr>
              <a:t>International Students as a Percentage of Total Student Headcount</a:t>
            </a:r>
            <a:endParaRPr lang="en-US" sz="1050"/>
          </a:p>
        </c:rich>
      </c:tx>
      <c:layout>
        <c:manualLayout>
          <c:xMode val="edge"/>
          <c:yMode val="edge"/>
          <c:x val="0.15180753593809793"/>
          <c:y val="0"/>
        </c:manualLayout>
      </c:layout>
      <c:overlay val="1"/>
    </c:title>
    <c:autoTitleDeleted val="0"/>
    <c:plotArea>
      <c:layout>
        <c:manualLayout>
          <c:layoutTarget val="inner"/>
          <c:xMode val="edge"/>
          <c:yMode val="edge"/>
          <c:x val="5.6950778412972351E-2"/>
          <c:y val="8.3017535851496821E-2"/>
          <c:w val="0.94253536116204661"/>
          <c:h val="0.7401362672131736"/>
        </c:manualLayout>
      </c:layout>
      <c:barChart>
        <c:barDir val="col"/>
        <c:grouping val="clustered"/>
        <c:varyColors val="0"/>
        <c:ser>
          <c:idx val="0"/>
          <c:order val="0"/>
          <c:tx>
            <c:strRef>
              <c:f>Sheet1!$B$1</c:f>
              <c:strCache>
                <c:ptCount val="1"/>
                <c:pt idx="0">
                  <c:v>Fall 2012</c:v>
                </c:pt>
              </c:strCache>
            </c:strRef>
          </c:tx>
          <c:invertIfNegative val="0"/>
          <c:dLbls>
            <c:dLbl>
              <c:idx val="1"/>
              <c:layout>
                <c:manualLayout>
                  <c:x val="0"/>
                  <c:y val="1.36986301369862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00-481E-90E4-96402658FF56}"/>
                </c:ext>
                <c:ext xmlns:c15="http://schemas.microsoft.com/office/drawing/2012/chart" uri="{CE6537A1-D6FC-4f65-9D91-7224C49458BB}"/>
              </c:extLst>
            </c:dLbl>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Sheet1!$B$2:$B$5</c:f>
              <c:numCache>
                <c:formatCode>##,##0.0%</c:formatCode>
                <c:ptCount val="4"/>
                <c:pt idx="0">
                  <c:v>5.0777530942557898E-3</c:v>
                </c:pt>
                <c:pt idx="1">
                  <c:v>1.2999999999999999E-2</c:v>
                </c:pt>
                <c:pt idx="2">
                  <c:v>2.77375671258464E-2</c:v>
                </c:pt>
                <c:pt idx="3">
                  <c:v>1.8710108527846301E-2</c:v>
                </c:pt>
              </c:numCache>
            </c:numRef>
          </c:val>
          <c:extLst xmlns:c16r2="http://schemas.microsoft.com/office/drawing/2015/06/chart">
            <c:ext xmlns:c16="http://schemas.microsoft.com/office/drawing/2014/chart" uri="{C3380CC4-5D6E-409C-BE32-E72D297353CC}">
              <c16:uniqueId val="{00000000-7A1D-4BF0-AACC-C27629F32514}"/>
            </c:ext>
          </c:extLst>
        </c:ser>
        <c:ser>
          <c:idx val="1"/>
          <c:order val="1"/>
          <c:tx>
            <c:strRef>
              <c:f>Sheet1!$C$1</c:f>
              <c:strCache>
                <c:ptCount val="1"/>
                <c:pt idx="0">
                  <c:v>Fall 2013</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##,##0.0%</c:formatCode>
                <c:ptCount val="4"/>
                <c:pt idx="0">
                  <c:v>3.66194468536186E-3</c:v>
                </c:pt>
                <c:pt idx="1">
                  <c:v>1.34944296249804E-2</c:v>
                </c:pt>
                <c:pt idx="2">
                  <c:v>3.1213351375733001E-2</c:v>
                </c:pt>
                <c:pt idx="3">
                  <c:v>1.9914777117876901E-2</c:v>
                </c:pt>
              </c:numCache>
            </c:numRef>
          </c:val>
          <c:extLst xmlns:c16r2="http://schemas.microsoft.com/office/drawing/2015/06/chart">
            <c:ext xmlns:c16="http://schemas.microsoft.com/office/drawing/2014/chart" uri="{C3380CC4-5D6E-409C-BE32-E72D297353CC}">
              <c16:uniqueId val="{00000001-7A1D-4BF0-AACC-C27629F32514}"/>
            </c:ext>
          </c:extLst>
        </c:ser>
        <c:ser>
          <c:idx val="2"/>
          <c:order val="2"/>
          <c:tx>
            <c:strRef>
              <c:f>Sheet1!$D$1</c:f>
              <c:strCache>
                <c:ptCount val="1"/>
                <c:pt idx="0">
                  <c:v>Fall 2014</c:v>
                </c:pt>
              </c:strCache>
            </c:strRef>
          </c:tx>
          <c:invertIfNegative val="0"/>
          <c:dLbls>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##,##0.0%</c:formatCode>
                <c:ptCount val="4"/>
                <c:pt idx="0">
                  <c:v>4.9733880115173197E-3</c:v>
                </c:pt>
                <c:pt idx="1">
                  <c:v>1.6299137104506201E-2</c:v>
                </c:pt>
                <c:pt idx="2">
                  <c:v>3.9170086639306899E-2</c:v>
                </c:pt>
                <c:pt idx="3">
                  <c:v>2.43971507613218E-2</c:v>
                </c:pt>
              </c:numCache>
            </c:numRef>
          </c:val>
          <c:extLst xmlns:c16r2="http://schemas.microsoft.com/office/drawing/2015/06/chart">
            <c:ext xmlns:c16="http://schemas.microsoft.com/office/drawing/2014/chart" uri="{C3380CC4-5D6E-409C-BE32-E72D297353CC}">
              <c16:uniqueId val="{00000002-7A1D-4BF0-AACC-C27629F32514}"/>
            </c:ext>
          </c:extLst>
        </c:ser>
        <c:ser>
          <c:idx val="3"/>
          <c:order val="3"/>
          <c:tx>
            <c:strRef>
              <c:f>Sheet1!$E$1</c:f>
              <c:strCache>
                <c:ptCount val="1"/>
                <c:pt idx="0">
                  <c:v>Fall 2015</c:v>
                </c:pt>
              </c:strCache>
            </c:strRef>
          </c:tx>
          <c:invertIfNegative val="0"/>
          <c:dLbls>
            <c:dLbl>
              <c:idx val="1"/>
              <c:layout>
                <c:manualLayout>
                  <c:x val="0"/>
                  <c:y val="1.369863013698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00-481E-90E4-96402658FF56}"/>
                </c:ext>
                <c:ext xmlns:c15="http://schemas.microsoft.com/office/drawing/2012/chart" uri="{CE6537A1-D6FC-4f65-9D91-7224C49458BB}"/>
              </c:extLst>
            </c:dLbl>
            <c:dLbl>
              <c:idx val="2"/>
              <c:layout>
                <c:manualLayout>
                  <c:x val="0"/>
                  <c:y val="1.3698630136986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1D-4BF0-AACC-C27629F32514}"/>
                </c:ext>
                <c:ext xmlns:c15="http://schemas.microsoft.com/office/drawing/2012/chart" uri="{CE6537A1-D6FC-4f65-9D91-7224C49458BB}"/>
              </c:extLst>
            </c:dLbl>
            <c:dLbl>
              <c:idx val="3"/>
              <c:layout>
                <c:manualLayout>
                  <c:x val="1.8441678192715537E-3"/>
                  <c:y val="1.7601760176017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400-481E-90E4-96402658FF56}"/>
                </c:ext>
                <c:ext xmlns:c15="http://schemas.microsoft.com/office/drawing/2012/chart" uri="{CE6537A1-D6FC-4f65-9D91-7224C49458BB}"/>
              </c:extLst>
            </c:dLbl>
            <c:spPr>
              <a:noFill/>
              <a:ln>
                <a:noFill/>
              </a:ln>
              <a:effectLst/>
            </c:spPr>
            <c:txPr>
              <a:bodyPr rot="-4200000"/>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##,##0.0%</c:formatCode>
                <c:ptCount val="4"/>
                <c:pt idx="0">
                  <c:v>8.9999999999999993E-3</c:v>
                </c:pt>
                <c:pt idx="1">
                  <c:v>2.0511978995733499E-2</c:v>
                </c:pt>
                <c:pt idx="2">
                  <c:v>4.6333258578156497E-2</c:v>
                </c:pt>
                <c:pt idx="3">
                  <c:v>2.9964415900017399E-2</c:v>
                </c:pt>
              </c:numCache>
            </c:numRef>
          </c:val>
          <c:extLst xmlns:c16r2="http://schemas.microsoft.com/office/drawing/2015/06/chart">
            <c:ext xmlns:c16="http://schemas.microsoft.com/office/drawing/2014/chart" uri="{C3380CC4-5D6E-409C-BE32-E72D297353CC}">
              <c16:uniqueId val="{00000004-7A1D-4BF0-AACC-C27629F32514}"/>
            </c:ext>
          </c:extLst>
        </c:ser>
        <c:ser>
          <c:idx val="4"/>
          <c:order val="4"/>
          <c:tx>
            <c:strRef>
              <c:f>Sheet1!$F$1</c:f>
              <c:strCache>
                <c:ptCount val="1"/>
                <c:pt idx="0">
                  <c:v>Fall 2016</c:v>
                </c:pt>
              </c:strCache>
            </c:strRef>
          </c:tx>
          <c:invertIfNegative val="0"/>
          <c:dLbls>
            <c:dLbl>
              <c:idx val="1"/>
              <c:layout>
                <c:manualLayout>
                  <c:x val="-1.8264840182649071E-3"/>
                  <c:y val="1.8264840182648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00-481E-90E4-96402658FF56}"/>
                </c:ext>
                <c:ext xmlns:c15="http://schemas.microsoft.com/office/drawing/2012/chart" uri="{CE6537A1-D6FC-4f65-9D91-7224C49458BB}"/>
              </c:extLst>
            </c:dLbl>
            <c:dLbl>
              <c:idx val="2"/>
              <c:layout>
                <c:manualLayout>
                  <c:x val="5.4970722020743256E-3"/>
                  <c:y val="8.96650294950754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00-481E-90E4-96402658FF56}"/>
                </c:ext>
                <c:ext xmlns:c15="http://schemas.microsoft.com/office/drawing/2012/chart" uri="{CE6537A1-D6FC-4f65-9D91-7224C49458BB}"/>
              </c:extLst>
            </c:dLbl>
            <c:dLbl>
              <c:idx val="3"/>
              <c:layout>
                <c:manualLayout>
                  <c:x val="5.5325034578145261E-3"/>
                  <c:y val="4.40044004400440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00-481E-90E4-96402658FF56}"/>
                </c:ext>
                <c:ext xmlns:c15="http://schemas.microsoft.com/office/drawing/2012/chart" uri="{CE6537A1-D6FC-4f65-9D91-7224C49458BB}"/>
              </c:extLst>
            </c:dLbl>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Coastline</c:v>
                </c:pt>
                <c:pt idx="1">
                  <c:v>Golden West</c:v>
                </c:pt>
                <c:pt idx="2">
                  <c:v>Orange Coast</c:v>
                </c:pt>
                <c:pt idx="3">
                  <c:v>District-wide</c:v>
                </c:pt>
              </c:strCache>
            </c:strRef>
          </c:cat>
          <c:val>
            <c:numRef>
              <c:f>Sheet1!$F$2:$F$5</c:f>
              <c:numCache>
                <c:formatCode>0.0%</c:formatCode>
                <c:ptCount val="4"/>
                <c:pt idx="0">
                  <c:v>0.01</c:v>
                </c:pt>
                <c:pt idx="1">
                  <c:v>2.5000000000000001E-2</c:v>
                </c:pt>
                <c:pt idx="2">
                  <c:v>5.1999999999999998E-2</c:v>
                </c:pt>
                <c:pt idx="3">
                  <c:v>3.4000000000000002E-2</c:v>
                </c:pt>
              </c:numCache>
            </c:numRef>
          </c:val>
          <c:extLst xmlns:c16r2="http://schemas.microsoft.com/office/drawing/2015/06/chart">
            <c:ext xmlns:c16="http://schemas.microsoft.com/office/drawing/2014/chart" uri="{C3380CC4-5D6E-409C-BE32-E72D297353CC}">
              <c16:uniqueId val="{00000000-3400-481E-90E4-96402658FF56}"/>
            </c:ext>
          </c:extLst>
        </c:ser>
        <c:dLbls>
          <c:showLegendKey val="0"/>
          <c:showVal val="0"/>
          <c:showCatName val="0"/>
          <c:showSerName val="0"/>
          <c:showPercent val="0"/>
          <c:showBubbleSize val="0"/>
        </c:dLbls>
        <c:gapWidth val="150"/>
        <c:axId val="241816936"/>
        <c:axId val="241817328"/>
      </c:barChart>
      <c:catAx>
        <c:axId val="241816936"/>
        <c:scaling>
          <c:orientation val="minMax"/>
        </c:scaling>
        <c:delete val="0"/>
        <c:axPos val="b"/>
        <c:numFmt formatCode="General" sourceLinked="0"/>
        <c:majorTickMark val="out"/>
        <c:minorTickMark val="none"/>
        <c:tickLblPos val="nextTo"/>
        <c:crossAx val="241817328"/>
        <c:crosses val="autoZero"/>
        <c:auto val="1"/>
        <c:lblAlgn val="ctr"/>
        <c:lblOffset val="100"/>
        <c:noMultiLvlLbl val="0"/>
      </c:catAx>
      <c:valAx>
        <c:axId val="241817328"/>
        <c:scaling>
          <c:orientation val="minMax"/>
          <c:max val="6.0000000000000012E-2"/>
        </c:scaling>
        <c:delete val="0"/>
        <c:axPos val="l"/>
        <c:majorGridlines>
          <c:spPr>
            <a:ln>
              <a:solidFill>
                <a:schemeClr val="bg1">
                  <a:lumMod val="85000"/>
                </a:schemeClr>
              </a:solidFill>
            </a:ln>
          </c:spPr>
        </c:majorGridlines>
        <c:numFmt formatCode="0.0%" sourceLinked="0"/>
        <c:majorTickMark val="out"/>
        <c:minorTickMark val="none"/>
        <c:tickLblPos val="nextTo"/>
        <c:crossAx val="241816936"/>
        <c:crosses val="autoZero"/>
        <c:crossBetween val="between"/>
      </c:valAx>
    </c:plotArea>
    <c:legend>
      <c:legendPos val="b"/>
      <c:layout>
        <c:manualLayout>
          <c:xMode val="edge"/>
          <c:yMode val="edge"/>
          <c:x val="0.25753424657534246"/>
          <c:y val="0.93011433502319063"/>
          <c:w val="0.52558347219045753"/>
          <c:h val="6.9885571234288776E-2"/>
        </c:manualLayout>
      </c:layout>
      <c:overlay val="0"/>
    </c:legend>
    <c:plotVisOnly val="1"/>
    <c:dispBlanksAs val="gap"/>
    <c:showDLblsOverMax val="0"/>
  </c:chart>
  <c:spPr>
    <a:ln>
      <a:noFill/>
    </a:ln>
  </c:spPr>
  <c:txPr>
    <a:bodyPr/>
    <a:lstStyle/>
    <a:p>
      <a:pPr>
        <a:defRPr>
          <a:latin typeface="Calibri"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Calibri" pitchFamily="34" charset="0"/>
                <a:ea typeface="+mn-ea"/>
                <a:cs typeface="+mn-cs"/>
              </a:defRPr>
            </a:pPr>
            <a:r>
              <a:rPr lang="en-US" sz="1050" b="1" i="0" u="none" strike="noStrike" baseline="0">
                <a:effectLst/>
              </a:rPr>
              <a:t>Credit Students with Out-of-State Residency</a:t>
            </a:r>
            <a:endParaRPr lang="en-US" sz="1050"/>
          </a:p>
        </c:rich>
      </c:tx>
      <c:layout>
        <c:manualLayout>
          <c:xMode val="edge"/>
          <c:yMode val="edge"/>
          <c:x val="0.31253816560601155"/>
          <c:y val="0"/>
        </c:manualLayout>
      </c:layout>
      <c:overlay val="1"/>
      <c:spPr>
        <a:noFill/>
        <a:ln>
          <a:noFill/>
        </a:ln>
        <a:effectLst/>
      </c:spPr>
    </c:title>
    <c:autoTitleDeleted val="0"/>
    <c:plotArea>
      <c:layout>
        <c:manualLayout>
          <c:layoutTarget val="inner"/>
          <c:xMode val="edge"/>
          <c:yMode val="edge"/>
          <c:x val="5.016014775339693E-2"/>
          <c:y val="8.6857410753290482E-2"/>
          <c:w val="0.94718325962679306"/>
          <c:h val="0.74179395892345135"/>
        </c:manualLayout>
      </c:layout>
      <c:barChart>
        <c:barDir val="col"/>
        <c:grouping val="clustered"/>
        <c:varyColors val="0"/>
        <c:ser>
          <c:idx val="0"/>
          <c:order val="0"/>
          <c:tx>
            <c:strRef>
              <c:f>Sheet1!$B$1</c:f>
              <c:strCache>
                <c:ptCount val="1"/>
                <c:pt idx="0">
                  <c:v>Fall 2012</c:v>
                </c:pt>
              </c:strCache>
            </c:strRef>
          </c:tx>
          <c:spPr>
            <a:solidFill>
              <a:schemeClr val="accent2">
                <a:tint val="54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Sheet1!$B$2:$B$5</c:f>
              <c:numCache>
                <c:formatCode>0</c:formatCode>
                <c:ptCount val="4"/>
                <c:pt idx="0">
                  <c:v>51</c:v>
                </c:pt>
                <c:pt idx="1">
                  <c:v>110</c:v>
                </c:pt>
                <c:pt idx="2">
                  <c:v>311</c:v>
                </c:pt>
                <c:pt idx="3">
                  <c:v>458</c:v>
                </c:pt>
              </c:numCache>
            </c:numRef>
          </c:val>
          <c:extLst xmlns:c16r2="http://schemas.microsoft.com/office/drawing/2015/06/chart">
            <c:ext xmlns:c16="http://schemas.microsoft.com/office/drawing/2014/chart" uri="{C3380CC4-5D6E-409C-BE32-E72D297353CC}">
              <c16:uniqueId val="{00000000-4CF5-4B75-AF25-D567DFF2E7D8}"/>
            </c:ext>
          </c:extLst>
        </c:ser>
        <c:ser>
          <c:idx val="1"/>
          <c:order val="1"/>
          <c:tx>
            <c:strRef>
              <c:f>Sheet1!$C$1</c:f>
              <c:strCache>
                <c:ptCount val="1"/>
                <c:pt idx="0">
                  <c:v>Fall 2013</c:v>
                </c:pt>
              </c:strCache>
            </c:strRef>
          </c:tx>
          <c:spPr>
            <a:solidFill>
              <a:schemeClr val="accent2">
                <a:tint val="77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0</c:formatCode>
                <c:ptCount val="4"/>
                <c:pt idx="0">
                  <c:v>58</c:v>
                </c:pt>
                <c:pt idx="1">
                  <c:v>122</c:v>
                </c:pt>
                <c:pt idx="2">
                  <c:v>374</c:v>
                </c:pt>
                <c:pt idx="3">
                  <c:v>538</c:v>
                </c:pt>
              </c:numCache>
            </c:numRef>
          </c:val>
          <c:extLst xmlns:c16r2="http://schemas.microsoft.com/office/drawing/2015/06/chart">
            <c:ext xmlns:c16="http://schemas.microsoft.com/office/drawing/2014/chart" uri="{C3380CC4-5D6E-409C-BE32-E72D297353CC}">
              <c16:uniqueId val="{00000001-4CF5-4B75-AF25-D567DFF2E7D8}"/>
            </c:ext>
          </c:extLst>
        </c:ser>
        <c:ser>
          <c:idx val="2"/>
          <c:order val="2"/>
          <c:tx>
            <c:strRef>
              <c:f>Sheet1!$D$1</c:f>
              <c:strCache>
                <c:ptCount val="1"/>
                <c:pt idx="0">
                  <c:v>Fall 2014</c:v>
                </c:pt>
              </c:strCache>
            </c:strRef>
          </c:tx>
          <c:spPr>
            <a:solidFill>
              <a:schemeClr val="accent2"/>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0</c:formatCode>
                <c:ptCount val="4"/>
                <c:pt idx="0">
                  <c:v>56</c:v>
                </c:pt>
                <c:pt idx="1">
                  <c:v>119</c:v>
                </c:pt>
                <c:pt idx="2">
                  <c:v>388</c:v>
                </c:pt>
                <c:pt idx="3">
                  <c:v>550</c:v>
                </c:pt>
              </c:numCache>
            </c:numRef>
          </c:val>
          <c:extLst xmlns:c16r2="http://schemas.microsoft.com/office/drawing/2015/06/chart">
            <c:ext xmlns:c16="http://schemas.microsoft.com/office/drawing/2014/chart" uri="{C3380CC4-5D6E-409C-BE32-E72D297353CC}">
              <c16:uniqueId val="{00000002-4CF5-4B75-AF25-D567DFF2E7D8}"/>
            </c:ext>
          </c:extLst>
        </c:ser>
        <c:ser>
          <c:idx val="3"/>
          <c:order val="3"/>
          <c:tx>
            <c:strRef>
              <c:f>Sheet1!$E$1</c:f>
              <c:strCache>
                <c:ptCount val="1"/>
                <c:pt idx="0">
                  <c:v>Fall 2015</c:v>
                </c:pt>
              </c:strCache>
            </c:strRef>
          </c:tx>
          <c:spPr>
            <a:solidFill>
              <a:schemeClr val="accent2">
                <a:shade val="76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0</c:formatCode>
                <c:ptCount val="4"/>
                <c:pt idx="0">
                  <c:v>77</c:v>
                </c:pt>
                <c:pt idx="1">
                  <c:v>123</c:v>
                </c:pt>
                <c:pt idx="2">
                  <c:v>400</c:v>
                </c:pt>
                <c:pt idx="3">
                  <c:v>590</c:v>
                </c:pt>
              </c:numCache>
            </c:numRef>
          </c:val>
          <c:extLst xmlns:c16r2="http://schemas.microsoft.com/office/drawing/2015/06/chart">
            <c:ext xmlns:c16="http://schemas.microsoft.com/office/drawing/2014/chart" uri="{C3380CC4-5D6E-409C-BE32-E72D297353CC}">
              <c16:uniqueId val="{00000003-4CF5-4B75-AF25-D567DFF2E7D8}"/>
            </c:ext>
          </c:extLst>
        </c:ser>
        <c:ser>
          <c:idx val="4"/>
          <c:order val="4"/>
          <c:tx>
            <c:strRef>
              <c:f>Sheet1!$F$1</c:f>
              <c:strCache>
                <c:ptCount val="1"/>
                <c:pt idx="0">
                  <c:v>Fall 2016</c:v>
                </c:pt>
              </c:strCache>
            </c:strRef>
          </c:tx>
          <c:invertIfNegative val="0"/>
          <c:dLbls>
            <c:spPr>
              <a:noFill/>
              <a:ln>
                <a:noFill/>
              </a:ln>
              <a:effectLst/>
            </c:spPr>
            <c:txPr>
              <a:bodyPr rot="-4200000"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Coastline</c:v>
                </c:pt>
                <c:pt idx="1">
                  <c:v>Golden West</c:v>
                </c:pt>
                <c:pt idx="2">
                  <c:v>Orange Coast</c:v>
                </c:pt>
                <c:pt idx="3">
                  <c:v>District-wide</c:v>
                </c:pt>
              </c:strCache>
            </c:strRef>
          </c:cat>
          <c:val>
            <c:numRef>
              <c:f>Sheet1!$F$2:$F$5</c:f>
              <c:numCache>
                <c:formatCode>0</c:formatCode>
                <c:ptCount val="4"/>
                <c:pt idx="0">
                  <c:v>71</c:v>
                </c:pt>
                <c:pt idx="1">
                  <c:v>149</c:v>
                </c:pt>
                <c:pt idx="2">
                  <c:v>421</c:v>
                </c:pt>
                <c:pt idx="3">
                  <c:v>641</c:v>
                </c:pt>
              </c:numCache>
            </c:numRef>
          </c:val>
          <c:extLst xmlns:c16r2="http://schemas.microsoft.com/office/drawing/2015/06/chart">
            <c:ext xmlns:c16="http://schemas.microsoft.com/office/drawing/2014/chart" uri="{C3380CC4-5D6E-409C-BE32-E72D297353CC}">
              <c16:uniqueId val="{00000000-AFBD-46A0-9A03-426815B129C3}"/>
            </c:ext>
          </c:extLst>
        </c:ser>
        <c:dLbls>
          <c:showLegendKey val="0"/>
          <c:showVal val="0"/>
          <c:showCatName val="0"/>
          <c:showSerName val="0"/>
          <c:showPercent val="0"/>
          <c:showBubbleSize val="0"/>
        </c:dLbls>
        <c:gapWidth val="150"/>
        <c:axId val="241818112"/>
        <c:axId val="241818504"/>
      </c:barChart>
      <c:catAx>
        <c:axId val="24181811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1818504"/>
        <c:crosses val="autoZero"/>
        <c:auto val="1"/>
        <c:lblAlgn val="ctr"/>
        <c:lblOffset val="100"/>
        <c:noMultiLvlLbl val="0"/>
      </c:catAx>
      <c:valAx>
        <c:axId val="241818504"/>
        <c:scaling>
          <c:orientation val="minMax"/>
        </c:scaling>
        <c:delete val="0"/>
        <c:axPos val="l"/>
        <c:majorGridlines>
          <c:spPr>
            <a:ln w="9525" cap="flat" cmpd="sng" algn="ctr">
              <a:solidFill>
                <a:schemeClr val="bg1">
                  <a:lumMod val="8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1818112"/>
        <c:crosses val="autoZero"/>
        <c:crossBetween val="between"/>
      </c:valAx>
      <c:spPr>
        <a:solidFill>
          <a:schemeClr val="bg1"/>
        </a:solidFill>
        <a:ln>
          <a:noFill/>
        </a:ln>
        <a:effectLst/>
      </c:spPr>
    </c:plotArea>
    <c:legend>
      <c:legendPos val="b"/>
      <c:layout>
        <c:manualLayout>
          <c:xMode val="edge"/>
          <c:yMode val="edge"/>
          <c:x val="0.26484018264840181"/>
          <c:y val="0.93209913117295984"/>
          <c:w val="0.51559011972818469"/>
          <c:h val="6.79008688270401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Calibri"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Calibri" pitchFamily="34" charset="0"/>
                <a:ea typeface="+mn-ea"/>
                <a:cs typeface="+mn-cs"/>
              </a:defRPr>
            </a:pPr>
            <a:r>
              <a:rPr lang="en-US" sz="1050" b="1" i="0" u="none" strike="noStrike" baseline="0">
                <a:effectLst/>
              </a:rPr>
              <a:t>Out-of-State Students as a Percentage of Total Student Headcount</a:t>
            </a:r>
            <a:endParaRPr lang="en-US" sz="1050"/>
          </a:p>
        </c:rich>
      </c:tx>
      <c:layout>
        <c:manualLayout>
          <c:xMode val="edge"/>
          <c:yMode val="edge"/>
          <c:x val="0.23060163858254887"/>
          <c:y val="0"/>
        </c:manualLayout>
      </c:layout>
      <c:overlay val="1"/>
      <c:spPr>
        <a:noFill/>
        <a:ln>
          <a:noFill/>
        </a:ln>
        <a:effectLst/>
      </c:spPr>
    </c:title>
    <c:autoTitleDeleted val="0"/>
    <c:plotArea>
      <c:layout>
        <c:manualLayout>
          <c:layoutTarget val="inner"/>
          <c:xMode val="edge"/>
          <c:yMode val="edge"/>
          <c:x val="4.2001510085211954E-2"/>
          <c:y val="8.956164570337799E-2"/>
          <c:w val="0.95714723330816542"/>
          <c:h val="0.74296622013157443"/>
        </c:manualLayout>
      </c:layout>
      <c:barChart>
        <c:barDir val="col"/>
        <c:grouping val="clustered"/>
        <c:varyColors val="0"/>
        <c:ser>
          <c:idx val="0"/>
          <c:order val="0"/>
          <c:tx>
            <c:strRef>
              <c:f>Sheet1!$B$1</c:f>
              <c:strCache>
                <c:ptCount val="1"/>
                <c:pt idx="0">
                  <c:v>Fall 2012</c:v>
                </c:pt>
              </c:strCache>
            </c:strRef>
          </c:tx>
          <c:spPr>
            <a:solidFill>
              <a:schemeClr val="accent2">
                <a:shade val="53000"/>
              </a:schemeClr>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B4-4706-99D3-44982939000F}"/>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B4-4706-99D3-44982939000F}"/>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DB4-4706-99D3-44982939000F}"/>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DB4-4706-99D3-44982939000F}"/>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Coastline</c:v>
                </c:pt>
                <c:pt idx="1">
                  <c:v>Golden West</c:v>
                </c:pt>
                <c:pt idx="2">
                  <c:v>Orange Coast</c:v>
                </c:pt>
                <c:pt idx="3">
                  <c:v>District-wide</c:v>
                </c:pt>
              </c:strCache>
            </c:strRef>
          </c:cat>
          <c:val>
            <c:numRef>
              <c:f>Sheet1!$B$2:$B$5</c:f>
              <c:numCache>
                <c:formatCode>0.0%</c:formatCode>
                <c:ptCount val="4"/>
                <c:pt idx="0">
                  <c:v>6.0000000000000001E-3</c:v>
                </c:pt>
                <c:pt idx="1">
                  <c:v>8.9999999999999993E-3</c:v>
                </c:pt>
                <c:pt idx="2">
                  <c:v>1.6E-2</c:v>
                </c:pt>
                <c:pt idx="3">
                  <c:v>1.0999999999999999E-2</c:v>
                </c:pt>
              </c:numCache>
            </c:numRef>
          </c:val>
          <c:extLst xmlns:c16r2="http://schemas.microsoft.com/office/drawing/2015/06/chart">
            <c:ext xmlns:c16="http://schemas.microsoft.com/office/drawing/2014/chart" uri="{C3380CC4-5D6E-409C-BE32-E72D297353CC}">
              <c16:uniqueId val="{00000004-3DB4-4706-99D3-44982939000F}"/>
            </c:ext>
          </c:extLst>
        </c:ser>
        <c:ser>
          <c:idx val="1"/>
          <c:order val="1"/>
          <c:tx>
            <c:strRef>
              <c:f>Sheet1!$C$1</c:f>
              <c:strCache>
                <c:ptCount val="1"/>
                <c:pt idx="0">
                  <c:v>Fall 2013</c:v>
                </c:pt>
              </c:strCache>
            </c:strRef>
          </c:tx>
          <c:spPr>
            <a:solidFill>
              <a:schemeClr val="accent2">
                <a:shade val="76000"/>
              </a:schemeClr>
            </a:solidFill>
            <a:ln>
              <a:noFill/>
            </a:ln>
            <a:effectLst/>
          </c:spPr>
          <c:invertIfNegative val="0"/>
          <c:dLbls>
            <c:dLbl>
              <c:idx val="2"/>
              <c:layout>
                <c:manualLayout>
                  <c:x val="-6.6970307023009276E-17"/>
                  <c:y val="8.6580086580086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DB4-4706-99D3-44982939000F}"/>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Sheet1!$C$2:$C$5</c:f>
              <c:numCache>
                <c:formatCode>0.0%</c:formatCode>
                <c:ptCount val="4"/>
                <c:pt idx="0">
                  <c:v>6.0000000000000001E-3</c:v>
                </c:pt>
                <c:pt idx="1">
                  <c:v>0.01</c:v>
                </c:pt>
                <c:pt idx="2">
                  <c:v>1.7999999999999999E-2</c:v>
                </c:pt>
                <c:pt idx="3">
                  <c:v>1.2999999999999999E-2</c:v>
                </c:pt>
              </c:numCache>
            </c:numRef>
          </c:val>
          <c:extLst xmlns:c16r2="http://schemas.microsoft.com/office/drawing/2015/06/chart">
            <c:ext xmlns:c16="http://schemas.microsoft.com/office/drawing/2014/chart" uri="{C3380CC4-5D6E-409C-BE32-E72D297353CC}">
              <c16:uniqueId val="{00000006-3DB4-4706-99D3-44982939000F}"/>
            </c:ext>
          </c:extLst>
        </c:ser>
        <c:ser>
          <c:idx val="2"/>
          <c:order val="2"/>
          <c:tx>
            <c:strRef>
              <c:f>Sheet1!$D$1</c:f>
              <c:strCache>
                <c:ptCount val="1"/>
                <c:pt idx="0">
                  <c:v>Fall 2014</c:v>
                </c:pt>
              </c:strCache>
            </c:strRef>
          </c:tx>
          <c:spPr>
            <a:solidFill>
              <a:schemeClr val="accent2"/>
            </a:solidFill>
            <a:ln>
              <a:noFill/>
            </a:ln>
            <a:effectLst/>
          </c:spPr>
          <c:invertIfNegative val="0"/>
          <c:dLbls>
            <c:dLbl>
              <c:idx val="2"/>
              <c:layout>
                <c:manualLayout>
                  <c:x val="-1.8264840182648401E-3"/>
                  <c:y val="1.29870129870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CA-4987-8B19-0CA8F1A7CBE2}"/>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Sheet1!$D$2:$D$5</c:f>
              <c:numCache>
                <c:formatCode>0.0%</c:formatCode>
                <c:ptCount val="4"/>
                <c:pt idx="0">
                  <c:v>6.0000000000000001E-3</c:v>
                </c:pt>
                <c:pt idx="1">
                  <c:v>0.01</c:v>
                </c:pt>
                <c:pt idx="2">
                  <c:v>1.9E-2</c:v>
                </c:pt>
                <c:pt idx="3">
                  <c:v>1.2999999999999999E-2</c:v>
                </c:pt>
              </c:numCache>
            </c:numRef>
          </c:val>
          <c:extLst xmlns:c16r2="http://schemas.microsoft.com/office/drawing/2015/06/chart">
            <c:ext xmlns:c16="http://schemas.microsoft.com/office/drawing/2014/chart" uri="{C3380CC4-5D6E-409C-BE32-E72D297353CC}">
              <c16:uniqueId val="{00000007-3DB4-4706-99D3-44982939000F}"/>
            </c:ext>
          </c:extLst>
        </c:ser>
        <c:ser>
          <c:idx val="3"/>
          <c:order val="3"/>
          <c:tx>
            <c:strRef>
              <c:f>Sheet1!$E$1</c:f>
              <c:strCache>
                <c:ptCount val="1"/>
                <c:pt idx="0">
                  <c:v>Fall 2015</c:v>
                </c:pt>
              </c:strCache>
            </c:strRef>
          </c:tx>
          <c:spPr>
            <a:solidFill>
              <a:schemeClr val="accent2">
                <a:tint val="77000"/>
              </a:schemeClr>
            </a:solidFill>
            <a:ln>
              <a:noFill/>
            </a:ln>
            <a:effectLst/>
          </c:spPr>
          <c:invertIfNegative val="0"/>
          <c:dLbls>
            <c:dLbl>
              <c:idx val="2"/>
              <c:layout>
                <c:manualLayout>
                  <c:x val="0"/>
                  <c:y val="1.29870129870129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DB4-4706-99D3-44982939000F}"/>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Sheet1!$E$2:$E$5</c:f>
              <c:numCache>
                <c:formatCode>0.0%</c:formatCode>
                <c:ptCount val="4"/>
                <c:pt idx="0">
                  <c:v>8.0000000000000002E-3</c:v>
                </c:pt>
                <c:pt idx="1">
                  <c:v>1.0999999999999999E-2</c:v>
                </c:pt>
                <c:pt idx="2">
                  <c:v>1.7999999999999999E-2</c:v>
                </c:pt>
                <c:pt idx="3">
                  <c:v>1.4E-2</c:v>
                </c:pt>
              </c:numCache>
            </c:numRef>
          </c:val>
          <c:extLst xmlns:c16r2="http://schemas.microsoft.com/office/drawing/2015/06/chart">
            <c:ext xmlns:c16="http://schemas.microsoft.com/office/drawing/2014/chart" uri="{C3380CC4-5D6E-409C-BE32-E72D297353CC}">
              <c16:uniqueId val="{00000009-3DB4-4706-99D3-44982939000F}"/>
            </c:ext>
          </c:extLst>
        </c:ser>
        <c:ser>
          <c:idx val="4"/>
          <c:order val="4"/>
          <c:tx>
            <c:strRef>
              <c:f>Sheet1!$F$1</c:f>
              <c:strCache>
                <c:ptCount val="1"/>
                <c:pt idx="0">
                  <c:v>Fall 2016</c:v>
                </c:pt>
              </c:strCache>
            </c:strRef>
          </c:tx>
          <c:spPr>
            <a:solidFill>
              <a:schemeClr val="accent2">
                <a:tint val="54000"/>
              </a:schemeClr>
            </a:solidFill>
            <a:ln>
              <a:noFill/>
            </a:ln>
            <a:effectLst/>
          </c:spPr>
          <c:invertIfNegative val="0"/>
          <c:dLbls>
            <c:dLbl>
              <c:idx val="2"/>
              <c:layout>
                <c:manualLayout>
                  <c:x val="9.1324200913242004E-3"/>
                  <c:y val="2.59740259740259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DB4-4706-99D3-44982939000F}"/>
                </c:ext>
                <c:ext xmlns:c15="http://schemas.microsoft.com/office/drawing/2012/chart" uri="{CE6537A1-D6FC-4f65-9D91-7224C49458BB}"/>
              </c:extLst>
            </c:dLbl>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District-wide</c:v>
                </c:pt>
              </c:strCache>
            </c:strRef>
          </c:cat>
          <c:val>
            <c:numRef>
              <c:f>Sheet1!$F$2:$F$5</c:f>
              <c:numCache>
                <c:formatCode>0.0%</c:formatCode>
                <c:ptCount val="4"/>
                <c:pt idx="0">
                  <c:v>8.0000000000000002E-3</c:v>
                </c:pt>
                <c:pt idx="1">
                  <c:v>1.2E-2</c:v>
                </c:pt>
                <c:pt idx="2">
                  <c:v>1.9E-2</c:v>
                </c:pt>
                <c:pt idx="3">
                  <c:v>1.4E-2</c:v>
                </c:pt>
              </c:numCache>
            </c:numRef>
          </c:val>
          <c:extLst xmlns:c16r2="http://schemas.microsoft.com/office/drawing/2015/06/chart">
            <c:ext xmlns:c16="http://schemas.microsoft.com/office/drawing/2014/chart" uri="{C3380CC4-5D6E-409C-BE32-E72D297353CC}">
              <c16:uniqueId val="{0000000B-3DB4-4706-99D3-44982939000F}"/>
            </c:ext>
          </c:extLst>
        </c:ser>
        <c:dLbls>
          <c:showLegendKey val="0"/>
          <c:showVal val="0"/>
          <c:showCatName val="0"/>
          <c:showSerName val="0"/>
          <c:showPercent val="0"/>
          <c:showBubbleSize val="0"/>
        </c:dLbls>
        <c:gapWidth val="150"/>
        <c:axId val="241819288"/>
        <c:axId val="241819680"/>
      </c:barChart>
      <c:catAx>
        <c:axId val="24181928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1819680"/>
        <c:crosses val="autoZero"/>
        <c:auto val="1"/>
        <c:lblAlgn val="ctr"/>
        <c:lblOffset val="100"/>
        <c:noMultiLvlLbl val="0"/>
      </c:catAx>
      <c:valAx>
        <c:axId val="241819680"/>
        <c:scaling>
          <c:orientation val="minMax"/>
        </c:scaling>
        <c:delete val="0"/>
        <c:axPos val="l"/>
        <c:majorGridlines>
          <c:spPr>
            <a:ln w="9525" cap="flat" cmpd="sng" algn="ctr">
              <a:solidFill>
                <a:schemeClr val="bg1">
                  <a:lumMod val="85000"/>
                </a:schemeClr>
              </a:solidFill>
              <a:prstDash val="solid"/>
              <a:round/>
            </a:ln>
            <a:effectLst/>
          </c:spPr>
        </c:majorGridlines>
        <c:numFmt formatCode="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1819288"/>
        <c:crosses val="autoZero"/>
        <c:crossBetween val="between"/>
      </c:valAx>
      <c:spPr>
        <a:solidFill>
          <a:schemeClr val="bg1"/>
        </a:solidFill>
        <a:ln>
          <a:noFill/>
        </a:ln>
        <a:effectLst/>
      </c:spPr>
    </c:plotArea>
    <c:legend>
      <c:legendPos val="b"/>
      <c:layout>
        <c:manualLayout>
          <c:xMode val="edge"/>
          <c:yMode val="edge"/>
          <c:x val="0.27762557077625571"/>
          <c:y val="0.93209905579984309"/>
          <c:w val="0.52054363067630249"/>
          <c:h val="6.79009442001567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Calibri"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u="none" strike="noStrike" baseline="0">
                <a:effectLst/>
                <a:latin typeface="Calibri" pitchFamily="34" charset="0"/>
              </a:rPr>
              <a:t>Fall Successful Completion Rates in Career Technical Education Courses</a:t>
            </a:r>
            <a:endParaRPr lang="en-US" sz="1100">
              <a:latin typeface="Calibri" pitchFamily="34" charset="0"/>
            </a:endParaRPr>
          </a:p>
        </c:rich>
      </c:tx>
      <c:layout>
        <c:manualLayout>
          <c:xMode val="edge"/>
          <c:yMode val="edge"/>
          <c:x val="0.20086900885881195"/>
          <c:y val="0"/>
        </c:manualLayout>
      </c:layout>
      <c:overlay val="1"/>
    </c:title>
    <c:autoTitleDeleted val="0"/>
    <c:plotArea>
      <c:layout>
        <c:manualLayout>
          <c:layoutTarget val="inner"/>
          <c:xMode val="edge"/>
          <c:yMode val="edge"/>
          <c:x val="5.2729114254909011E-2"/>
          <c:y val="0.13363779527559055"/>
          <c:w val="0.7460329699451469"/>
          <c:h val="0.75244246582784968"/>
        </c:manualLayout>
      </c:layout>
      <c:lineChart>
        <c:grouping val="standard"/>
        <c:varyColors val="0"/>
        <c:ser>
          <c:idx val="0"/>
          <c:order val="0"/>
          <c:tx>
            <c:strRef>
              <c:f>Sheet1!$B$1</c:f>
              <c:strCache>
                <c:ptCount val="1"/>
                <c:pt idx="0">
                  <c:v>Coastline</c:v>
                </c:pt>
              </c:strCache>
            </c:strRef>
          </c:tx>
          <c:spPr>
            <a:ln w="25400" cap="flat" cmpd="sng" algn="ctr">
              <a:solidFill>
                <a:schemeClr val="accent1"/>
              </a:solidFill>
              <a:prstDash val="solid"/>
            </a:ln>
            <a:effectLst/>
          </c:spPr>
          <c:marker>
            <c:spPr>
              <a:solidFill>
                <a:schemeClr val="lt1"/>
              </a:solidFill>
              <a:ln w="25400" cap="flat" cmpd="sng" algn="ctr">
                <a:solidFill>
                  <a:schemeClr val="accent1"/>
                </a:solidFill>
                <a:prstDash val="solid"/>
              </a:ln>
              <a:effectLst/>
            </c:spPr>
          </c:marker>
          <c:dLbls>
            <c:spPr>
              <a:solidFill>
                <a:sysClr val="window" lastClr="FFFFFF">
                  <a:alpha val="60000"/>
                </a:sysClr>
              </a:solidFill>
            </c:spPr>
            <c:txPr>
              <a:bodyPr/>
              <a:lstStyle/>
              <a:p>
                <a:pPr>
                  <a:defRPr sz="800" b="1">
                    <a:solidFill>
                      <a:schemeClr val="tx2">
                        <a:lumMod val="60000"/>
                        <a:lumOff val="40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0.62</c:v>
                </c:pt>
                <c:pt idx="1">
                  <c:v>0.63</c:v>
                </c:pt>
                <c:pt idx="2">
                  <c:v>0.63</c:v>
                </c:pt>
                <c:pt idx="3">
                  <c:v>0.62890000000000001</c:v>
                </c:pt>
                <c:pt idx="4">
                  <c:v>0.628</c:v>
                </c:pt>
              </c:numCache>
            </c:numRef>
          </c:val>
          <c:smooth val="0"/>
          <c:extLst xmlns:c16r2="http://schemas.microsoft.com/office/drawing/2015/06/chart">
            <c:ext xmlns:c16="http://schemas.microsoft.com/office/drawing/2014/chart" uri="{C3380CC4-5D6E-409C-BE32-E72D297353CC}">
              <c16:uniqueId val="{00000000-6AA6-4E9F-9EE5-FAFF96D80D51}"/>
            </c:ext>
          </c:extLst>
        </c:ser>
        <c:ser>
          <c:idx val="1"/>
          <c:order val="1"/>
          <c:tx>
            <c:strRef>
              <c:f>Sheet1!$C$1</c:f>
              <c:strCache>
                <c:ptCount val="1"/>
                <c:pt idx="0">
                  <c:v>Golden West</c:v>
                </c:pt>
              </c:strCache>
            </c:strRef>
          </c:tx>
          <c:spPr>
            <a:ln w="25400" cap="flat" cmpd="sng" algn="ctr">
              <a:solidFill>
                <a:schemeClr val="accent3">
                  <a:lumMod val="75000"/>
                </a:schemeClr>
              </a:solidFill>
              <a:prstDash val="solid"/>
            </a:ln>
            <a:effectLst/>
          </c:spPr>
          <c:marker>
            <c:spPr>
              <a:solidFill>
                <a:schemeClr val="lt1"/>
              </a:solidFill>
              <a:ln w="25400" cap="flat" cmpd="sng" algn="ctr">
                <a:solidFill>
                  <a:schemeClr val="accent3">
                    <a:lumMod val="75000"/>
                  </a:schemeClr>
                </a:solidFill>
                <a:prstDash val="solid"/>
              </a:ln>
              <a:effectLst/>
            </c:spPr>
          </c:marker>
          <c:dLbls>
            <c:dLbl>
              <c:idx val="4"/>
              <c:layout>
                <c:manualLayout>
                  <c:x val="-5.3370216689718766E-2"/>
                  <c:y val="3.28638497652581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A6-4E9F-9EE5-FAFF96D80D51}"/>
                </c:ext>
                <c:ext xmlns:c15="http://schemas.microsoft.com/office/drawing/2012/chart" uri="{CE6537A1-D6FC-4f65-9D91-7224C49458BB}">
                  <c15:layout/>
                </c:ext>
              </c:extLst>
            </c:dLbl>
            <c:dLbl>
              <c:idx val="5"/>
              <c:layout>
                <c:manualLayout>
                  <c:x val="-5.1526048870447212E-2"/>
                  <c:y val="4.69483568075117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A6-4E9F-9EE5-FAFF96D80D51}"/>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0.7</c:v>
                </c:pt>
                <c:pt idx="1">
                  <c:v>0.69</c:v>
                </c:pt>
                <c:pt idx="2">
                  <c:v>0.68899999999999995</c:v>
                </c:pt>
                <c:pt idx="3">
                  <c:v>0.7026</c:v>
                </c:pt>
                <c:pt idx="4">
                  <c:v>0.71699999999999997</c:v>
                </c:pt>
              </c:numCache>
            </c:numRef>
          </c:val>
          <c:smooth val="0"/>
          <c:extLst xmlns:c16r2="http://schemas.microsoft.com/office/drawing/2015/06/chart">
            <c:ext xmlns:c16="http://schemas.microsoft.com/office/drawing/2014/chart" uri="{C3380CC4-5D6E-409C-BE32-E72D297353CC}">
              <c16:uniqueId val="{00000003-6AA6-4E9F-9EE5-FAFF96D80D51}"/>
            </c:ext>
          </c:extLst>
        </c:ser>
        <c:ser>
          <c:idx val="2"/>
          <c:order val="2"/>
          <c:tx>
            <c:strRef>
              <c:f>Sheet1!$D$1</c:f>
              <c:strCache>
                <c:ptCount val="1"/>
                <c:pt idx="0">
                  <c:v>Orange Coast</c:v>
                </c:pt>
              </c:strCache>
            </c:strRef>
          </c:tx>
          <c:spPr>
            <a:ln w="25400" cap="flat" cmpd="sng" algn="ctr">
              <a:solidFill>
                <a:schemeClr val="accent6">
                  <a:lumMod val="75000"/>
                </a:schemeClr>
              </a:solidFill>
              <a:prstDash val="solid"/>
            </a:ln>
            <a:effectLst/>
          </c:spPr>
          <c:marker>
            <c:spPr>
              <a:solidFill>
                <a:schemeClr val="lt1"/>
              </a:solidFill>
              <a:ln w="25400" cap="flat" cmpd="sng" algn="ctr">
                <a:solidFill>
                  <a:schemeClr val="accent6">
                    <a:lumMod val="75000"/>
                  </a:schemeClr>
                </a:solidFill>
                <a:prstDash val="solid"/>
              </a:ln>
              <a:effectLst/>
            </c:spPr>
          </c:marker>
          <c:dLbls>
            <c:dLbl>
              <c:idx val="4"/>
              <c:layout>
                <c:manualLayout>
                  <c:x val="-3.5905947441217285E-2"/>
                  <c:y val="-4.63968060330486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6C-4D4C-878D-50D62CF5B0D4}"/>
                </c:ext>
                <c:ext xmlns:c15="http://schemas.microsoft.com/office/drawing/2012/chart" uri="{CE6537A1-D6FC-4f65-9D91-7224C49458BB}">
                  <c15:layout/>
                </c:ext>
              </c:extLst>
            </c:dLbl>
            <c:dLbl>
              <c:idx val="5"/>
              <c:layout>
                <c:manualLayout>
                  <c:x val="-3.2217611802674045E-2"/>
                  <c:y val="-5.57864773945510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AA6-4E9F-9EE5-FAFF96D80D51}"/>
                </c:ext>
                <c:ext xmlns:c15="http://schemas.microsoft.com/office/drawing/2012/chart" uri="{CE6537A1-D6FC-4f65-9D91-7224C49458BB}"/>
              </c:extLst>
            </c:dLbl>
            <c:spPr>
              <a:solidFill>
                <a:sysClr val="window" lastClr="FFFFFF">
                  <a:alpha val="60000"/>
                </a:sysClr>
              </a:solidFill>
            </c:spPr>
            <c:txPr>
              <a:bodyPr/>
              <a:lstStyle/>
              <a:p>
                <a:pPr>
                  <a:defRPr sz="800" b="1">
                    <a:solidFill>
                      <a:schemeClr val="accent6">
                        <a:lumMod val="75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Sheet1!$D$2:$D$6</c:f>
              <c:numCache>
                <c:formatCode>0%</c:formatCode>
                <c:ptCount val="5"/>
                <c:pt idx="0">
                  <c:v>0.76</c:v>
                </c:pt>
                <c:pt idx="1">
                  <c:v>0.75</c:v>
                </c:pt>
                <c:pt idx="2">
                  <c:v>0.76</c:v>
                </c:pt>
                <c:pt idx="3">
                  <c:v>0.76</c:v>
                </c:pt>
                <c:pt idx="4">
                  <c:v>0.77900000000000003</c:v>
                </c:pt>
              </c:numCache>
            </c:numRef>
          </c:val>
          <c:smooth val="0"/>
          <c:extLst xmlns:c16r2="http://schemas.microsoft.com/office/drawing/2015/06/chart">
            <c:ext xmlns:c16="http://schemas.microsoft.com/office/drawing/2014/chart" uri="{C3380CC4-5D6E-409C-BE32-E72D297353CC}">
              <c16:uniqueId val="{00000005-6AA6-4E9F-9EE5-FAFF96D80D51}"/>
            </c:ext>
          </c:extLst>
        </c:ser>
        <c:ser>
          <c:idx val="3"/>
          <c:order val="3"/>
          <c:tx>
            <c:strRef>
              <c:f>Sheet1!$E$1</c:f>
              <c:strCache>
                <c:ptCount val="1"/>
                <c:pt idx="0">
                  <c:v>Statewide</c:v>
                </c:pt>
              </c:strCache>
            </c:strRef>
          </c:tx>
          <c:spPr>
            <a:ln w="25400" cap="flat" cmpd="sng" algn="ctr">
              <a:solidFill>
                <a:schemeClr val="tx2"/>
              </a:solidFill>
              <a:prstDash val="solid"/>
            </a:ln>
            <a:effectLst/>
          </c:spPr>
          <c:marker>
            <c:symbol val="x"/>
            <c:size val="7"/>
            <c:spPr>
              <a:noFill/>
              <a:ln w="25400" cap="flat" cmpd="sng" algn="ctr">
                <a:solidFill>
                  <a:schemeClr val="tx2"/>
                </a:solidFill>
                <a:prstDash val="solid"/>
              </a:ln>
              <a:effectLst/>
            </c:spPr>
          </c:marker>
          <c:dLbls>
            <c:dLbl>
              <c:idx val="0"/>
              <c:layout>
                <c:manualLayout>
                  <c:x val="-3.3195020746887967E-2"/>
                  <c:y val="4.2253521126760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AA6-4E9F-9EE5-FAFF96D80D51}"/>
                </c:ext>
                <c:ext xmlns:c15="http://schemas.microsoft.com/office/drawing/2012/chart" uri="{CE6537A1-D6FC-4f65-9D91-7224C49458BB}">
                  <c15:layout/>
                </c:ext>
              </c:extLst>
            </c:dLbl>
            <c:dLbl>
              <c:idx val="1"/>
              <c:layout>
                <c:manualLayout>
                  <c:x val="-1.1065006915629323E-2"/>
                  <c:y val="1.8779342723004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AA6-4E9F-9EE5-FAFF96D80D51}"/>
                </c:ext>
                <c:ext xmlns:c15="http://schemas.microsoft.com/office/drawing/2012/chart" uri="{CE6537A1-D6FC-4f65-9D91-7224C49458BB}">
                  <c15:layout/>
                </c:ext>
              </c:extLst>
            </c:dLbl>
            <c:dLbl>
              <c:idx val="2"/>
              <c:layout>
                <c:manualLayout>
                  <c:x val="-5.5325034578146614E-3"/>
                  <c:y val="3.28638497652581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AA6-4E9F-9EE5-FAFF96D80D51}"/>
                </c:ext>
                <c:ext xmlns:c15="http://schemas.microsoft.com/office/drawing/2012/chart" uri="{CE6537A1-D6FC-4f65-9D91-7224C49458BB}">
                  <c15:layout/>
                </c:ext>
              </c:extLst>
            </c:dLbl>
            <c:dLbl>
              <c:idx val="3"/>
              <c:layout>
                <c:manualLayout>
                  <c:x val="-5.5325034578147291E-3"/>
                  <c:y val="2.3474178403755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AA6-4E9F-9EE5-FAFF96D80D51}"/>
                </c:ext>
                <c:ext xmlns:c15="http://schemas.microsoft.com/office/drawing/2012/chart" uri="{CE6537A1-D6FC-4f65-9D91-7224C49458BB}">
                  <c15:layout/>
                </c:ext>
              </c:extLst>
            </c:dLbl>
            <c:spPr>
              <a:solidFill>
                <a:sysClr val="window" lastClr="FFFFFF">
                  <a:alpha val="60000"/>
                </a:sysClr>
              </a:solidFill>
              <a:ln>
                <a:noFill/>
              </a:ln>
            </c:spPr>
            <c:txPr>
              <a:bodyPr/>
              <a:lstStyle/>
              <a:p>
                <a:pPr>
                  <a:defRPr sz="800" b="1">
                    <a:solidFill>
                      <a:schemeClr val="tx2"/>
                    </a:solidFill>
                    <a:latin typeface="Calibri" pitchFamily="3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Sheet1!$A$2:$A$6</c:f>
              <c:numCache>
                <c:formatCode>General</c:formatCode>
                <c:ptCount val="5"/>
                <c:pt idx="0">
                  <c:v>2012</c:v>
                </c:pt>
                <c:pt idx="1">
                  <c:v>2013</c:v>
                </c:pt>
                <c:pt idx="2">
                  <c:v>2014</c:v>
                </c:pt>
                <c:pt idx="3">
                  <c:v>2015</c:v>
                </c:pt>
                <c:pt idx="4">
                  <c:v>2016</c:v>
                </c:pt>
              </c:numCache>
            </c:numRef>
          </c:cat>
          <c:val>
            <c:numRef>
              <c:f>Sheet1!$E$2:$E$6</c:f>
              <c:numCache>
                <c:formatCode>0%</c:formatCode>
                <c:ptCount val="5"/>
                <c:pt idx="0">
                  <c:v>0.74</c:v>
                </c:pt>
                <c:pt idx="1">
                  <c:v>0.73</c:v>
                </c:pt>
                <c:pt idx="2">
                  <c:v>0.74</c:v>
                </c:pt>
                <c:pt idx="3">
                  <c:v>0.75</c:v>
                </c:pt>
                <c:pt idx="4">
                  <c:v>0.75900000000000001</c:v>
                </c:pt>
              </c:numCache>
            </c:numRef>
          </c:val>
          <c:smooth val="0"/>
          <c:extLst xmlns:c16r2="http://schemas.microsoft.com/office/drawing/2015/06/chart">
            <c:ext xmlns:c16="http://schemas.microsoft.com/office/drawing/2014/chart" uri="{C3380CC4-5D6E-409C-BE32-E72D297353CC}">
              <c16:uniqueId val="{0000000A-6AA6-4E9F-9EE5-FAFF96D80D51}"/>
            </c:ext>
          </c:extLst>
        </c:ser>
        <c:dLbls>
          <c:dLblPos val="r"/>
          <c:showLegendKey val="0"/>
          <c:showVal val="1"/>
          <c:showCatName val="0"/>
          <c:showSerName val="0"/>
          <c:showPercent val="0"/>
          <c:showBubbleSize val="0"/>
        </c:dLbls>
        <c:marker val="1"/>
        <c:smooth val="0"/>
        <c:axId val="235937064"/>
        <c:axId val="235937456"/>
      </c:lineChart>
      <c:catAx>
        <c:axId val="235937064"/>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5937456"/>
        <c:crosses val="autoZero"/>
        <c:auto val="1"/>
        <c:lblAlgn val="ctr"/>
        <c:lblOffset val="100"/>
        <c:noMultiLvlLbl val="0"/>
      </c:catAx>
      <c:valAx>
        <c:axId val="235937456"/>
        <c:scaling>
          <c:orientation val="minMax"/>
          <c:max val="0.8"/>
          <c:min val="0.5"/>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Calibri" pitchFamily="34" charset="0"/>
              </a:defRPr>
            </a:pPr>
            <a:endParaRPr lang="en-US"/>
          </a:p>
        </c:txPr>
        <c:crossAx val="235937064"/>
        <c:crosses val="autoZero"/>
        <c:crossBetween val="between"/>
        <c:majorUnit val="5.000000000000001E-2"/>
      </c:valAx>
    </c:plotArea>
    <c:legend>
      <c:legendPos val="r"/>
      <c:layout>
        <c:manualLayout>
          <c:xMode val="edge"/>
          <c:yMode val="edge"/>
          <c:x val="0.81826466712407842"/>
          <c:y val="0.26300876122879008"/>
          <c:w val="0.17979295471364637"/>
          <c:h val="0.42517782624311745"/>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nchor="ctr" anchorCtr="1"/>
          <a:lstStyle/>
          <a:p>
            <a:pPr>
              <a:defRPr sz="1050">
                <a:solidFill>
                  <a:schemeClr val="accent1"/>
                </a:solidFill>
                <a:latin typeface="Calibri" pitchFamily="34" charset="0"/>
              </a:defRPr>
            </a:pPr>
            <a:r>
              <a:rPr lang="en-US" sz="1100" u="heavy" baseline="0">
                <a:solidFill>
                  <a:schemeClr val="accent1"/>
                </a:solidFill>
                <a:uFill>
                  <a:solidFill>
                    <a:schemeClr val="accent1"/>
                  </a:solidFill>
                </a:uFill>
                <a:latin typeface="Calibri" pitchFamily="34" charset="0"/>
              </a:rPr>
              <a:t>Coastline</a:t>
            </a:r>
            <a:r>
              <a:rPr lang="en-US" sz="1100">
                <a:solidFill>
                  <a:schemeClr val="accent1"/>
                </a:solidFill>
                <a:latin typeface="Calibri" pitchFamily="34" charset="0"/>
              </a:rPr>
              <a:t>     </a:t>
            </a:r>
            <a:r>
              <a:rPr lang="en-US" sz="1100" b="1" i="0" u="none" strike="noStrike" baseline="0">
                <a:solidFill>
                  <a:sysClr val="windowText" lastClr="000000"/>
                </a:solidFill>
                <a:effectLst/>
              </a:rPr>
              <a:t>Permanent Faculty, Staff and Administrators/Managers</a:t>
            </a:r>
            <a:endParaRPr lang="en-US" sz="1100">
              <a:solidFill>
                <a:sysClr val="windowText" lastClr="000000"/>
              </a:solidFill>
              <a:latin typeface="Calibri" pitchFamily="34" charset="0"/>
            </a:endParaRPr>
          </a:p>
        </c:rich>
      </c:tx>
      <c:layout>
        <c:manualLayout>
          <c:xMode val="edge"/>
          <c:yMode val="edge"/>
          <c:x val="0.2012130148847272"/>
          <c:y val="0"/>
        </c:manualLayout>
      </c:layout>
      <c:overlay val="1"/>
    </c:title>
    <c:autoTitleDeleted val="0"/>
    <c:plotArea>
      <c:layout>
        <c:manualLayout>
          <c:layoutTarget val="inner"/>
          <c:xMode val="edge"/>
          <c:yMode val="edge"/>
          <c:x val="5.0077674227117855E-2"/>
          <c:y val="0.13851199598372349"/>
          <c:w val="0.94949412350560314"/>
          <c:h val="0.59495851609152883"/>
        </c:manualLayout>
      </c:layout>
      <c:barChart>
        <c:barDir val="col"/>
        <c:grouping val="clustered"/>
        <c:varyColors val="0"/>
        <c:ser>
          <c:idx val="0"/>
          <c:order val="0"/>
          <c:tx>
            <c:strRef>
              <c:f>Sheet1!$A$2</c:f>
              <c:strCache>
                <c:ptCount val="1"/>
                <c:pt idx="0">
                  <c:v>Fall  2012</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Sheet1!$B$2:$D$2</c:f>
              <c:numCache>
                <c:formatCode>#,###</c:formatCode>
                <c:ptCount val="3"/>
                <c:pt idx="0">
                  <c:v>39</c:v>
                </c:pt>
                <c:pt idx="1">
                  <c:v>29</c:v>
                </c:pt>
                <c:pt idx="2">
                  <c:v>158</c:v>
                </c:pt>
              </c:numCache>
            </c:numRef>
          </c:val>
          <c:extLst xmlns:c16r2="http://schemas.microsoft.com/office/drawing/2015/06/chart">
            <c:ext xmlns:c16="http://schemas.microsoft.com/office/drawing/2014/chart" uri="{C3380CC4-5D6E-409C-BE32-E72D297353CC}">
              <c16:uniqueId val="{00000000-27A2-450F-A249-B674E8EA5704}"/>
            </c:ext>
          </c:extLst>
        </c:ser>
        <c:ser>
          <c:idx val="1"/>
          <c:order val="1"/>
          <c:tx>
            <c:strRef>
              <c:f>Sheet1!$A$3</c:f>
              <c:strCache>
                <c:ptCount val="1"/>
                <c:pt idx="0">
                  <c:v>Fall  2013</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Sheet1!$B$3:$D$3</c:f>
              <c:numCache>
                <c:formatCode>#,###</c:formatCode>
                <c:ptCount val="3"/>
                <c:pt idx="0">
                  <c:v>42</c:v>
                </c:pt>
                <c:pt idx="1">
                  <c:v>26</c:v>
                </c:pt>
                <c:pt idx="2">
                  <c:v>134</c:v>
                </c:pt>
              </c:numCache>
            </c:numRef>
          </c:val>
          <c:extLst xmlns:c16r2="http://schemas.microsoft.com/office/drawing/2015/06/chart">
            <c:ext xmlns:c16="http://schemas.microsoft.com/office/drawing/2014/chart" uri="{C3380CC4-5D6E-409C-BE32-E72D297353CC}">
              <c16:uniqueId val="{00000001-27A2-450F-A249-B674E8EA5704}"/>
            </c:ext>
          </c:extLst>
        </c:ser>
        <c:ser>
          <c:idx val="2"/>
          <c:order val="2"/>
          <c:tx>
            <c:strRef>
              <c:f>Sheet1!$A$4</c:f>
              <c:strCache>
                <c:ptCount val="1"/>
                <c:pt idx="0">
                  <c:v>Fall  2014</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Sheet1!$B$4:$D$4</c:f>
              <c:numCache>
                <c:formatCode>#,###</c:formatCode>
                <c:ptCount val="3"/>
                <c:pt idx="0">
                  <c:v>42</c:v>
                </c:pt>
                <c:pt idx="1">
                  <c:v>28</c:v>
                </c:pt>
                <c:pt idx="2">
                  <c:v>144</c:v>
                </c:pt>
              </c:numCache>
            </c:numRef>
          </c:val>
          <c:extLst xmlns:c16r2="http://schemas.microsoft.com/office/drawing/2015/06/chart">
            <c:ext xmlns:c16="http://schemas.microsoft.com/office/drawing/2014/chart" uri="{C3380CC4-5D6E-409C-BE32-E72D297353CC}">
              <c16:uniqueId val="{00000002-27A2-450F-A249-B674E8EA5704}"/>
            </c:ext>
          </c:extLst>
        </c:ser>
        <c:ser>
          <c:idx val="3"/>
          <c:order val="3"/>
          <c:tx>
            <c:strRef>
              <c:f>Sheet1!$A$5</c:f>
              <c:strCache>
                <c:ptCount val="1"/>
                <c:pt idx="0">
                  <c:v>Fall  2015</c:v>
                </c:pt>
              </c:strCache>
            </c:strRef>
          </c:tx>
          <c:invertIfNegative val="0"/>
          <c:dLbls>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FT Faculty</c:v>
                </c:pt>
                <c:pt idx="1">
                  <c:v>Admin/Mgrs</c:v>
                </c:pt>
                <c:pt idx="2">
                  <c:v>Classified Staff</c:v>
                </c:pt>
              </c:strCache>
            </c:strRef>
          </c:cat>
          <c:val>
            <c:numRef>
              <c:f>Sheet1!$B$5:$D$5</c:f>
              <c:numCache>
                <c:formatCode>#,###</c:formatCode>
                <c:ptCount val="3"/>
                <c:pt idx="0">
                  <c:v>47</c:v>
                </c:pt>
                <c:pt idx="1">
                  <c:v>31</c:v>
                </c:pt>
                <c:pt idx="2">
                  <c:v>156</c:v>
                </c:pt>
              </c:numCache>
            </c:numRef>
          </c:val>
          <c:extLst xmlns:c16r2="http://schemas.microsoft.com/office/drawing/2015/06/chart">
            <c:ext xmlns:c16="http://schemas.microsoft.com/office/drawing/2014/chart" uri="{C3380CC4-5D6E-409C-BE32-E72D297353CC}">
              <c16:uniqueId val="{00000003-27A2-450F-A249-B674E8EA5704}"/>
            </c:ext>
          </c:extLst>
        </c:ser>
        <c:ser>
          <c:idx val="4"/>
          <c:order val="4"/>
          <c:tx>
            <c:strRef>
              <c:f>Sheet1!$A$6</c:f>
              <c:strCache>
                <c:ptCount val="1"/>
                <c:pt idx="0">
                  <c:v>Fall 2016</c:v>
                </c:pt>
              </c:strCache>
            </c:strRef>
          </c:tx>
          <c:invertIfNegative val="0"/>
          <c:dLbls>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FT Faculty</c:v>
                </c:pt>
                <c:pt idx="1">
                  <c:v>Admin/Mgrs</c:v>
                </c:pt>
                <c:pt idx="2">
                  <c:v>Classified Staff</c:v>
                </c:pt>
              </c:strCache>
            </c:strRef>
          </c:cat>
          <c:val>
            <c:numRef>
              <c:f>Sheet1!$B$6:$D$6</c:f>
              <c:numCache>
                <c:formatCode>#,###</c:formatCode>
                <c:ptCount val="3"/>
                <c:pt idx="0">
                  <c:v>50</c:v>
                </c:pt>
                <c:pt idx="1">
                  <c:v>32</c:v>
                </c:pt>
                <c:pt idx="2">
                  <c:v>159</c:v>
                </c:pt>
              </c:numCache>
            </c:numRef>
          </c:val>
          <c:extLst xmlns:c16r2="http://schemas.microsoft.com/office/drawing/2015/06/chart">
            <c:ext xmlns:c16="http://schemas.microsoft.com/office/drawing/2014/chart" uri="{C3380CC4-5D6E-409C-BE32-E72D297353CC}">
              <c16:uniqueId val="{00000004-27A2-450F-A249-B674E8EA5704}"/>
            </c:ext>
          </c:extLst>
        </c:ser>
        <c:dLbls>
          <c:dLblPos val="outEnd"/>
          <c:showLegendKey val="0"/>
          <c:showVal val="1"/>
          <c:showCatName val="0"/>
          <c:showSerName val="0"/>
          <c:showPercent val="0"/>
          <c:showBubbleSize val="0"/>
        </c:dLbls>
        <c:gapWidth val="150"/>
        <c:axId val="241820464"/>
        <c:axId val="241820856"/>
      </c:barChart>
      <c:catAx>
        <c:axId val="241820464"/>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41820856"/>
        <c:crosses val="autoZero"/>
        <c:auto val="1"/>
        <c:lblAlgn val="ctr"/>
        <c:lblOffset val="100"/>
        <c:noMultiLvlLbl val="0"/>
      </c:catAx>
      <c:valAx>
        <c:axId val="241820856"/>
        <c:scaling>
          <c:orientation val="minMax"/>
          <c:max val="300"/>
          <c:min val="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41820464"/>
        <c:crosses val="autoZero"/>
        <c:crossBetween val="between"/>
        <c:majorUnit val="50"/>
      </c:valAx>
    </c:plotArea>
    <c:legend>
      <c:legendPos val="b"/>
      <c:layout>
        <c:manualLayout>
          <c:xMode val="edge"/>
          <c:yMode val="edge"/>
          <c:x val="0.30433239354353175"/>
          <c:y val="0.90651278179268691"/>
          <c:w val="0.56271153694946474"/>
          <c:h val="9.3488083284891402E-2"/>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050">
                <a:solidFill>
                  <a:schemeClr val="accent3">
                    <a:lumMod val="50000"/>
                  </a:schemeClr>
                </a:solidFill>
                <a:latin typeface="Calibri" pitchFamily="34" charset="0"/>
              </a:defRPr>
            </a:pPr>
            <a:r>
              <a:rPr lang="en-US" sz="1100" b="1" i="0" u="heavy" baseline="0">
                <a:effectLst/>
              </a:rPr>
              <a:t>Golden West</a:t>
            </a:r>
            <a:r>
              <a:rPr lang="en-US" sz="1100" b="1" i="0" baseline="0">
                <a:effectLst/>
              </a:rPr>
              <a:t>     </a:t>
            </a:r>
            <a:r>
              <a:rPr lang="en-US" sz="1100" b="1" i="0" baseline="0">
                <a:solidFill>
                  <a:sysClr val="windowText" lastClr="000000"/>
                </a:solidFill>
                <a:effectLst/>
              </a:rPr>
              <a:t>Permanent Faculty, Staff and Administrators/Managers</a:t>
            </a:r>
            <a:endParaRPr lang="en-US" sz="1100">
              <a:solidFill>
                <a:sysClr val="windowText" lastClr="000000"/>
              </a:solidFill>
              <a:effectLst/>
            </a:endParaRPr>
          </a:p>
        </c:rich>
      </c:tx>
      <c:layout>
        <c:manualLayout>
          <c:xMode val="edge"/>
          <c:yMode val="edge"/>
          <c:x val="0.2012130148847272"/>
          <c:y val="0"/>
        </c:manualLayout>
      </c:layout>
      <c:overlay val="1"/>
    </c:title>
    <c:autoTitleDeleted val="0"/>
    <c:plotArea>
      <c:layout>
        <c:manualLayout>
          <c:layoutTarget val="inner"/>
          <c:xMode val="edge"/>
          <c:yMode val="edge"/>
          <c:x val="5.0077674227117841E-2"/>
          <c:y val="0.13460600383151464"/>
          <c:w val="0.9494628221400998"/>
          <c:h val="0.62472367802899231"/>
        </c:manualLayout>
      </c:layout>
      <c:barChart>
        <c:barDir val="col"/>
        <c:grouping val="clustered"/>
        <c:varyColors val="0"/>
        <c:ser>
          <c:idx val="0"/>
          <c:order val="0"/>
          <c:tx>
            <c:strRef>
              <c:f>Sheet1!$A$2</c:f>
              <c:strCache>
                <c:ptCount val="1"/>
                <c:pt idx="0">
                  <c:v>Fall  2012</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Sheet1!$B$2:$D$2</c:f>
              <c:numCache>
                <c:formatCode>#,###</c:formatCode>
                <c:ptCount val="3"/>
                <c:pt idx="0">
                  <c:v>126</c:v>
                </c:pt>
                <c:pt idx="1">
                  <c:v>33</c:v>
                </c:pt>
                <c:pt idx="2">
                  <c:v>172</c:v>
                </c:pt>
              </c:numCache>
            </c:numRef>
          </c:val>
          <c:extLst xmlns:c16r2="http://schemas.microsoft.com/office/drawing/2015/06/chart">
            <c:ext xmlns:c16="http://schemas.microsoft.com/office/drawing/2014/chart" uri="{C3380CC4-5D6E-409C-BE32-E72D297353CC}">
              <c16:uniqueId val="{00000000-AA31-4EC2-8E47-7814B1055044}"/>
            </c:ext>
          </c:extLst>
        </c:ser>
        <c:ser>
          <c:idx val="1"/>
          <c:order val="1"/>
          <c:tx>
            <c:strRef>
              <c:f>Sheet1!$A$3</c:f>
              <c:strCache>
                <c:ptCount val="1"/>
                <c:pt idx="0">
                  <c:v>Fall  2013</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Sheet1!$B$3:$D$3</c:f>
              <c:numCache>
                <c:formatCode>#,###</c:formatCode>
                <c:ptCount val="3"/>
                <c:pt idx="0">
                  <c:v>126</c:v>
                </c:pt>
                <c:pt idx="1">
                  <c:v>32</c:v>
                </c:pt>
                <c:pt idx="2">
                  <c:v>174</c:v>
                </c:pt>
              </c:numCache>
            </c:numRef>
          </c:val>
          <c:extLst xmlns:c16r2="http://schemas.microsoft.com/office/drawing/2015/06/chart">
            <c:ext xmlns:c16="http://schemas.microsoft.com/office/drawing/2014/chart" uri="{C3380CC4-5D6E-409C-BE32-E72D297353CC}">
              <c16:uniqueId val="{00000001-AA31-4EC2-8E47-7814B1055044}"/>
            </c:ext>
          </c:extLst>
        </c:ser>
        <c:ser>
          <c:idx val="2"/>
          <c:order val="2"/>
          <c:tx>
            <c:strRef>
              <c:f>Sheet1!$A$4</c:f>
              <c:strCache>
                <c:ptCount val="1"/>
                <c:pt idx="0">
                  <c:v>Fall  2014</c:v>
                </c:pt>
              </c:strCache>
            </c:strRef>
          </c:tx>
          <c:invertIfNegative val="0"/>
          <c:dLbls>
            <c:spPr>
              <a:noFill/>
              <a:ln>
                <a:noFill/>
              </a:ln>
              <a:effectLst/>
            </c:spPr>
            <c:txPr>
              <a:bodyPr rot="-4200000"/>
              <a:lstStyle/>
              <a:p>
                <a:pPr>
                  <a:defRPr sz="800">
                    <a:latin typeface="Calibri"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Sheet1!$B$4:$D$4</c:f>
              <c:numCache>
                <c:formatCode>#,###</c:formatCode>
                <c:ptCount val="3"/>
                <c:pt idx="0">
                  <c:v>128</c:v>
                </c:pt>
                <c:pt idx="1">
                  <c:v>34</c:v>
                </c:pt>
                <c:pt idx="2">
                  <c:v>177</c:v>
                </c:pt>
              </c:numCache>
            </c:numRef>
          </c:val>
          <c:extLst xmlns:c16r2="http://schemas.microsoft.com/office/drawing/2015/06/chart">
            <c:ext xmlns:c16="http://schemas.microsoft.com/office/drawing/2014/chart" uri="{C3380CC4-5D6E-409C-BE32-E72D297353CC}">
              <c16:uniqueId val="{00000002-AA31-4EC2-8E47-7814B1055044}"/>
            </c:ext>
          </c:extLst>
        </c:ser>
        <c:ser>
          <c:idx val="3"/>
          <c:order val="3"/>
          <c:tx>
            <c:strRef>
              <c:f>Sheet1!$A$5</c:f>
              <c:strCache>
                <c:ptCount val="1"/>
                <c:pt idx="0">
                  <c:v>Fall  2015</c:v>
                </c:pt>
              </c:strCache>
            </c:strRef>
          </c:tx>
          <c:invertIfNegative val="0"/>
          <c:dLbls>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FT Faculty</c:v>
                </c:pt>
                <c:pt idx="1">
                  <c:v>Admin/Mgrs</c:v>
                </c:pt>
                <c:pt idx="2">
                  <c:v>Classified Staff</c:v>
                </c:pt>
              </c:strCache>
            </c:strRef>
          </c:cat>
          <c:val>
            <c:numRef>
              <c:f>Sheet1!$B$5:$D$5</c:f>
              <c:numCache>
                <c:formatCode>#,###</c:formatCode>
                <c:ptCount val="3"/>
                <c:pt idx="0">
                  <c:v>136</c:v>
                </c:pt>
                <c:pt idx="1">
                  <c:v>35</c:v>
                </c:pt>
                <c:pt idx="2">
                  <c:v>170</c:v>
                </c:pt>
              </c:numCache>
            </c:numRef>
          </c:val>
          <c:extLst xmlns:c16r2="http://schemas.microsoft.com/office/drawing/2015/06/chart">
            <c:ext xmlns:c16="http://schemas.microsoft.com/office/drawing/2014/chart" uri="{C3380CC4-5D6E-409C-BE32-E72D297353CC}">
              <c16:uniqueId val="{00000003-AA31-4EC2-8E47-7814B1055044}"/>
            </c:ext>
          </c:extLst>
        </c:ser>
        <c:ser>
          <c:idx val="4"/>
          <c:order val="4"/>
          <c:tx>
            <c:strRef>
              <c:f>Sheet1!$A$6</c:f>
              <c:strCache>
                <c:ptCount val="1"/>
                <c:pt idx="0">
                  <c:v>Fall 2016</c:v>
                </c:pt>
              </c:strCache>
            </c:strRef>
          </c:tx>
          <c:invertIfNegative val="0"/>
          <c:dLbls>
            <c:spPr>
              <a:noFill/>
              <a:ln>
                <a:noFill/>
              </a:ln>
              <a:effectLst/>
            </c:spPr>
            <c:txPr>
              <a:bodyPr rot="-4200000" wrap="square" lIns="38100" tIns="19050" rIns="38100" bIns="19050" anchor="ctr">
                <a:spAutoFit/>
              </a:bodyPr>
              <a:lstStyle/>
              <a:p>
                <a:pPr>
                  <a:defRPr sz="8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FT Faculty</c:v>
                </c:pt>
                <c:pt idx="1">
                  <c:v>Admin/Mgrs</c:v>
                </c:pt>
                <c:pt idx="2">
                  <c:v>Classified Staff</c:v>
                </c:pt>
              </c:strCache>
            </c:strRef>
          </c:cat>
          <c:val>
            <c:numRef>
              <c:f>Sheet1!$B$6:$D$6</c:f>
              <c:numCache>
                <c:formatCode>#,###</c:formatCode>
                <c:ptCount val="3"/>
                <c:pt idx="0">
                  <c:v>140</c:v>
                </c:pt>
                <c:pt idx="1">
                  <c:v>38</c:v>
                </c:pt>
                <c:pt idx="2">
                  <c:v>182</c:v>
                </c:pt>
              </c:numCache>
            </c:numRef>
          </c:val>
          <c:extLst xmlns:c16r2="http://schemas.microsoft.com/office/drawing/2015/06/chart">
            <c:ext xmlns:c16="http://schemas.microsoft.com/office/drawing/2014/chart" uri="{C3380CC4-5D6E-409C-BE32-E72D297353CC}">
              <c16:uniqueId val="{00000004-AA31-4EC2-8E47-7814B1055044}"/>
            </c:ext>
          </c:extLst>
        </c:ser>
        <c:dLbls>
          <c:dLblPos val="outEnd"/>
          <c:showLegendKey val="0"/>
          <c:showVal val="1"/>
          <c:showCatName val="0"/>
          <c:showSerName val="0"/>
          <c:showPercent val="0"/>
          <c:showBubbleSize val="0"/>
        </c:dLbls>
        <c:gapWidth val="150"/>
        <c:axId val="241821640"/>
        <c:axId val="241822032"/>
      </c:barChart>
      <c:catAx>
        <c:axId val="241821640"/>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41822032"/>
        <c:crosses val="autoZero"/>
        <c:auto val="1"/>
        <c:lblAlgn val="ctr"/>
        <c:lblOffset val="100"/>
        <c:noMultiLvlLbl val="0"/>
      </c:catAx>
      <c:valAx>
        <c:axId val="241822032"/>
        <c:scaling>
          <c:orientation val="minMax"/>
          <c:max val="300"/>
          <c:min val="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sz="1000">
                <a:latin typeface="Calibri" pitchFamily="34" charset="0"/>
              </a:defRPr>
            </a:pPr>
            <a:endParaRPr lang="en-US"/>
          </a:p>
        </c:txPr>
        <c:crossAx val="241821640"/>
        <c:crosses val="autoZero"/>
        <c:crossBetween val="between"/>
        <c:majorUnit val="50"/>
      </c:valAx>
    </c:plotArea>
    <c:legend>
      <c:legendPos val="b"/>
      <c:layout>
        <c:manualLayout>
          <c:xMode val="edge"/>
          <c:yMode val="edge"/>
          <c:x val="0.26998086722754522"/>
          <c:y val="0.92976637637609771"/>
          <c:w val="0.56271153694946474"/>
          <c:h val="7.0233461868294642E-2"/>
        </c:manualLayout>
      </c:layout>
      <c:overlay val="1"/>
      <c:spPr>
        <a:ln>
          <a:noFill/>
        </a:ln>
      </c:spPr>
      <c:txPr>
        <a:bodyPr/>
        <a:lstStyle/>
        <a:p>
          <a:pPr>
            <a:defRPr>
              <a:latin typeface="Calibri" pitchFamily="34" charset="0"/>
            </a:defRPr>
          </a:pPr>
          <a:endParaRPr lang="en-US"/>
        </a:p>
      </c:txPr>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50" b="1" i="0" u="none" strike="noStrike" kern="1200" baseline="0">
                <a:solidFill>
                  <a:schemeClr val="accent3">
                    <a:lumMod val="50000"/>
                  </a:schemeClr>
                </a:solidFill>
                <a:latin typeface="Calibri" pitchFamily="34" charset="0"/>
                <a:ea typeface="+mn-ea"/>
                <a:cs typeface="+mn-cs"/>
              </a:defRPr>
            </a:pPr>
            <a:r>
              <a:rPr lang="en-US" sz="1100" b="1" i="0" u="heavy" baseline="0">
                <a:solidFill>
                  <a:schemeClr val="accent6"/>
                </a:solidFill>
                <a:effectLst/>
              </a:rPr>
              <a:t>Organge Coast</a:t>
            </a:r>
            <a:r>
              <a:rPr lang="en-US" sz="1100" b="1" i="0" baseline="0">
                <a:solidFill>
                  <a:sysClr val="windowText" lastClr="000000"/>
                </a:solidFill>
                <a:effectLst/>
              </a:rPr>
              <a:t>  Permanent Faculty, Staff and Administrators/Managers</a:t>
            </a:r>
            <a:endParaRPr lang="en-US" sz="1100">
              <a:solidFill>
                <a:sysClr val="windowText" lastClr="000000"/>
              </a:solidFill>
              <a:effectLst/>
            </a:endParaRPr>
          </a:p>
        </c:rich>
      </c:tx>
      <c:layout>
        <c:manualLayout>
          <c:xMode val="edge"/>
          <c:yMode val="edge"/>
          <c:x val="0.2012130148847272"/>
          <c:y val="0"/>
        </c:manualLayout>
      </c:layout>
      <c:overlay val="1"/>
      <c:spPr>
        <a:noFill/>
        <a:ln>
          <a:noFill/>
        </a:ln>
        <a:effectLst/>
      </c:spPr>
    </c:title>
    <c:autoTitleDeleted val="0"/>
    <c:plotArea>
      <c:layout>
        <c:manualLayout>
          <c:layoutTarget val="inner"/>
          <c:xMode val="edge"/>
          <c:yMode val="edge"/>
          <c:x val="5.0077674227117841E-2"/>
          <c:y val="0.13460600383151464"/>
          <c:w val="0.9494628221400998"/>
          <c:h val="0.62472367802899231"/>
        </c:manualLayout>
      </c:layout>
      <c:barChart>
        <c:barDir val="col"/>
        <c:grouping val="clustered"/>
        <c:varyColors val="0"/>
        <c:ser>
          <c:idx val="0"/>
          <c:order val="0"/>
          <c:tx>
            <c:strRef>
              <c:f>Sheet1!$A$2</c:f>
              <c:strCache>
                <c:ptCount val="1"/>
                <c:pt idx="0">
                  <c:v>Fall  2012</c:v>
                </c:pt>
              </c:strCache>
            </c:strRef>
          </c:tx>
          <c:spPr>
            <a:solidFill>
              <a:schemeClr val="accent6">
                <a:shade val="53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Sheet1!$B$2:$D$2</c:f>
              <c:numCache>
                <c:formatCode>#,###</c:formatCode>
                <c:ptCount val="3"/>
                <c:pt idx="0">
                  <c:v>247</c:v>
                </c:pt>
                <c:pt idx="1">
                  <c:v>40</c:v>
                </c:pt>
                <c:pt idx="2">
                  <c:v>282</c:v>
                </c:pt>
              </c:numCache>
            </c:numRef>
          </c:val>
          <c:extLst xmlns:c16r2="http://schemas.microsoft.com/office/drawing/2015/06/chart">
            <c:ext xmlns:c16="http://schemas.microsoft.com/office/drawing/2014/chart" uri="{C3380CC4-5D6E-409C-BE32-E72D297353CC}">
              <c16:uniqueId val="{00000000-1180-4BD6-AFB5-8F7A9BC21B4F}"/>
            </c:ext>
          </c:extLst>
        </c:ser>
        <c:ser>
          <c:idx val="1"/>
          <c:order val="1"/>
          <c:tx>
            <c:strRef>
              <c:f>Sheet1!$A$3</c:f>
              <c:strCache>
                <c:ptCount val="1"/>
                <c:pt idx="0">
                  <c:v>Fall  2013</c:v>
                </c:pt>
              </c:strCache>
            </c:strRef>
          </c:tx>
          <c:spPr>
            <a:solidFill>
              <a:schemeClr val="accent6">
                <a:shade val="76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Sheet1!$B$3:$D$3</c:f>
              <c:numCache>
                <c:formatCode>#,###</c:formatCode>
                <c:ptCount val="3"/>
                <c:pt idx="0">
                  <c:v>242</c:v>
                </c:pt>
                <c:pt idx="1">
                  <c:v>41</c:v>
                </c:pt>
                <c:pt idx="2">
                  <c:v>274</c:v>
                </c:pt>
              </c:numCache>
            </c:numRef>
          </c:val>
          <c:extLst xmlns:c16r2="http://schemas.microsoft.com/office/drawing/2015/06/chart">
            <c:ext xmlns:c16="http://schemas.microsoft.com/office/drawing/2014/chart" uri="{C3380CC4-5D6E-409C-BE32-E72D297353CC}">
              <c16:uniqueId val="{00000001-1180-4BD6-AFB5-8F7A9BC21B4F}"/>
            </c:ext>
          </c:extLst>
        </c:ser>
        <c:ser>
          <c:idx val="2"/>
          <c:order val="2"/>
          <c:tx>
            <c:strRef>
              <c:f>Sheet1!$A$4</c:f>
              <c:strCache>
                <c:ptCount val="1"/>
                <c:pt idx="0">
                  <c:v>Fall  2014</c:v>
                </c:pt>
              </c:strCache>
            </c:strRef>
          </c:tx>
          <c:spPr>
            <a:solidFill>
              <a:schemeClr val="accent6"/>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Admin/Mgrs</c:v>
                </c:pt>
                <c:pt idx="2">
                  <c:v>Classified Staff</c:v>
                </c:pt>
              </c:strCache>
            </c:strRef>
          </c:cat>
          <c:val>
            <c:numRef>
              <c:f>Sheet1!$B$4:$D$4</c:f>
              <c:numCache>
                <c:formatCode>#,###</c:formatCode>
                <c:ptCount val="3"/>
                <c:pt idx="0">
                  <c:v>246</c:v>
                </c:pt>
                <c:pt idx="1">
                  <c:v>41</c:v>
                </c:pt>
                <c:pt idx="2">
                  <c:v>293</c:v>
                </c:pt>
              </c:numCache>
            </c:numRef>
          </c:val>
          <c:extLst xmlns:c16r2="http://schemas.microsoft.com/office/drawing/2015/06/chart">
            <c:ext xmlns:c16="http://schemas.microsoft.com/office/drawing/2014/chart" uri="{C3380CC4-5D6E-409C-BE32-E72D297353CC}">
              <c16:uniqueId val="{00000002-1180-4BD6-AFB5-8F7A9BC21B4F}"/>
            </c:ext>
          </c:extLst>
        </c:ser>
        <c:ser>
          <c:idx val="3"/>
          <c:order val="3"/>
          <c:tx>
            <c:strRef>
              <c:f>Sheet1!$A$5</c:f>
              <c:strCache>
                <c:ptCount val="1"/>
                <c:pt idx="0">
                  <c:v>Fall  2015</c:v>
                </c:pt>
              </c:strCache>
            </c:strRef>
          </c:tx>
          <c:spPr>
            <a:solidFill>
              <a:schemeClr val="accent6">
                <a:tint val="77000"/>
              </a:schemeClr>
            </a:solidFill>
            <a:ln>
              <a:noFill/>
            </a:ln>
            <a:effectLst/>
          </c:spPr>
          <c:invertIfNegative val="0"/>
          <c:dLbls>
            <c:spPr>
              <a:noFill/>
              <a:ln>
                <a:noFill/>
              </a:ln>
              <a:effectLst/>
            </c:spPr>
            <c:txPr>
              <a:bodyPr rot="-4200000" spcFirstLastPara="1" vertOverflow="ellipsis"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Admin/Mgrs</c:v>
                </c:pt>
                <c:pt idx="2">
                  <c:v>Classified Staff</c:v>
                </c:pt>
              </c:strCache>
            </c:strRef>
          </c:cat>
          <c:val>
            <c:numRef>
              <c:f>Sheet1!$B$5:$D$5</c:f>
              <c:numCache>
                <c:formatCode>#,###</c:formatCode>
                <c:ptCount val="3"/>
                <c:pt idx="0">
                  <c:v>246</c:v>
                </c:pt>
                <c:pt idx="1">
                  <c:v>43</c:v>
                </c:pt>
                <c:pt idx="2">
                  <c:v>301</c:v>
                </c:pt>
              </c:numCache>
            </c:numRef>
          </c:val>
          <c:extLst xmlns:c16r2="http://schemas.microsoft.com/office/drawing/2015/06/chart">
            <c:ext xmlns:c16="http://schemas.microsoft.com/office/drawing/2014/chart" uri="{C3380CC4-5D6E-409C-BE32-E72D297353CC}">
              <c16:uniqueId val="{00000003-1180-4BD6-AFB5-8F7A9BC21B4F}"/>
            </c:ext>
          </c:extLst>
        </c:ser>
        <c:ser>
          <c:idx val="4"/>
          <c:order val="4"/>
          <c:tx>
            <c:strRef>
              <c:f>Sheet1!$A$6</c:f>
              <c:strCache>
                <c:ptCount val="1"/>
                <c:pt idx="0">
                  <c:v>Fall  2016</c:v>
                </c:pt>
              </c:strCache>
            </c:strRef>
          </c:tx>
          <c:spPr>
            <a:solidFill>
              <a:schemeClr val="accent6">
                <a:tint val="54000"/>
              </a:schemeClr>
            </a:solidFill>
            <a:ln>
              <a:noFill/>
            </a:ln>
            <a:effectLst/>
          </c:spPr>
          <c:invertIfNegative val="0"/>
          <c:dLbls>
            <c:spPr>
              <a:noFill/>
              <a:ln>
                <a:noFill/>
              </a:ln>
              <a:effectLst/>
            </c:spPr>
            <c:txPr>
              <a:bodyPr rot="-4200000" spcFirstLastPara="1" vertOverflow="ellipsis"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Admin/Mgrs</c:v>
                </c:pt>
                <c:pt idx="2">
                  <c:v>Classified Staff</c:v>
                </c:pt>
              </c:strCache>
            </c:strRef>
          </c:cat>
          <c:val>
            <c:numRef>
              <c:f>Sheet1!$B$6:$D$6</c:f>
              <c:numCache>
                <c:formatCode>#,###</c:formatCode>
                <c:ptCount val="3"/>
                <c:pt idx="0">
                  <c:v>261</c:v>
                </c:pt>
                <c:pt idx="1">
                  <c:v>51</c:v>
                </c:pt>
                <c:pt idx="2">
                  <c:v>300</c:v>
                </c:pt>
              </c:numCache>
            </c:numRef>
          </c:val>
          <c:extLst xmlns:c16r2="http://schemas.microsoft.com/office/drawing/2015/06/chart">
            <c:ext xmlns:c16="http://schemas.microsoft.com/office/drawing/2014/chart" uri="{C3380CC4-5D6E-409C-BE32-E72D297353CC}">
              <c16:uniqueId val="{00000004-1180-4BD6-AFB5-8F7A9BC21B4F}"/>
            </c:ext>
          </c:extLst>
        </c:ser>
        <c:dLbls>
          <c:dLblPos val="outEnd"/>
          <c:showLegendKey val="0"/>
          <c:showVal val="1"/>
          <c:showCatName val="0"/>
          <c:showSerName val="0"/>
          <c:showPercent val="0"/>
          <c:showBubbleSize val="0"/>
        </c:dLbls>
        <c:gapWidth val="150"/>
        <c:axId val="243217968"/>
        <c:axId val="243218360"/>
      </c:barChart>
      <c:catAx>
        <c:axId val="24321796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18360"/>
        <c:crosses val="autoZero"/>
        <c:auto val="1"/>
        <c:lblAlgn val="ctr"/>
        <c:lblOffset val="100"/>
        <c:noMultiLvlLbl val="0"/>
      </c:catAx>
      <c:valAx>
        <c:axId val="243218360"/>
        <c:scaling>
          <c:orientation val="minMax"/>
          <c:max val="350"/>
          <c:min val="0"/>
        </c:scaling>
        <c:delete val="0"/>
        <c:axPos val="l"/>
        <c:majorGridlines>
          <c:spPr>
            <a:ln w="9525" cap="flat" cmpd="sng" algn="ctr">
              <a:solidFill>
                <a:schemeClr val="bg1">
                  <a:lumMod val="8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17968"/>
        <c:crosses val="autoZero"/>
        <c:crossBetween val="between"/>
        <c:majorUnit val="50"/>
      </c:valAx>
      <c:spPr>
        <a:solidFill>
          <a:schemeClr val="bg1"/>
        </a:solidFill>
        <a:ln>
          <a:noFill/>
        </a:ln>
        <a:effectLst/>
      </c:spPr>
    </c:plotArea>
    <c:legend>
      <c:legendPos val="b"/>
      <c:layout>
        <c:manualLayout>
          <c:xMode val="edge"/>
          <c:yMode val="edge"/>
          <c:x val="0.26998086722754522"/>
          <c:y val="0.90691809944168256"/>
          <c:w val="0.56271153694946474"/>
          <c:h val="7.0233461868294642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1" i="0" u="none" strike="noStrike" kern="1200" baseline="0">
                <a:solidFill>
                  <a:schemeClr val="accent6">
                    <a:lumMod val="75000"/>
                  </a:schemeClr>
                </a:solidFill>
                <a:latin typeface="Calibri" pitchFamily="34" charset="0"/>
                <a:ea typeface="+mn-ea"/>
                <a:cs typeface="+mn-cs"/>
              </a:defRPr>
            </a:pPr>
            <a:r>
              <a:rPr lang="en-US" sz="1100" b="1" i="0" u="heavy" baseline="0">
                <a:effectLst/>
              </a:rPr>
              <a:t>District Office  </a:t>
            </a:r>
            <a:r>
              <a:rPr lang="en-US" sz="1100" b="1" i="0" u="none" baseline="0">
                <a:solidFill>
                  <a:sysClr val="windowText" lastClr="000000"/>
                </a:solidFill>
                <a:effectLst/>
              </a:rPr>
              <a:t>Classified/Confidential</a:t>
            </a:r>
            <a:r>
              <a:rPr lang="en-US" sz="1100" b="1" i="0" baseline="0">
                <a:solidFill>
                  <a:sysClr val="windowText" lastClr="000000"/>
                </a:solidFill>
                <a:effectLst/>
              </a:rPr>
              <a:t> Staff and Administrators/Managers</a:t>
            </a:r>
            <a:endParaRPr lang="en-US" sz="1100">
              <a:solidFill>
                <a:sysClr val="windowText" lastClr="000000"/>
              </a:solidFill>
              <a:effectLst/>
            </a:endParaRPr>
          </a:p>
        </c:rich>
      </c:tx>
      <c:layout>
        <c:manualLayout>
          <c:xMode val="edge"/>
          <c:yMode val="edge"/>
          <c:x val="0.2012130148847272"/>
          <c:y val="0"/>
        </c:manualLayout>
      </c:layout>
      <c:overlay val="1"/>
      <c:spPr>
        <a:noFill/>
        <a:ln>
          <a:noFill/>
        </a:ln>
        <a:effectLst/>
      </c:spPr>
    </c:title>
    <c:autoTitleDeleted val="0"/>
    <c:plotArea>
      <c:layout>
        <c:manualLayout>
          <c:layoutTarget val="inner"/>
          <c:xMode val="edge"/>
          <c:yMode val="edge"/>
          <c:x val="4.9424560750860345E-2"/>
          <c:y val="0.18857665528476986"/>
          <c:w val="0.95057379596452007"/>
          <c:h val="0.56442858863394452"/>
        </c:manualLayout>
      </c:layout>
      <c:barChart>
        <c:barDir val="col"/>
        <c:grouping val="clustered"/>
        <c:varyColors val="0"/>
        <c:ser>
          <c:idx val="0"/>
          <c:order val="0"/>
          <c:tx>
            <c:strRef>
              <c:f>Sheet1!$A$2</c:f>
              <c:strCache>
                <c:ptCount val="1"/>
                <c:pt idx="0">
                  <c:v>Fall  2012</c:v>
                </c:pt>
              </c:strCache>
            </c:strRef>
          </c:tx>
          <c:spPr>
            <a:solidFill>
              <a:schemeClr val="accent2">
                <a:shade val="53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Admin/Mgrs</c:v>
                </c:pt>
                <c:pt idx="1">
                  <c:v>Classified Staff</c:v>
                </c:pt>
              </c:strCache>
            </c:strRef>
          </c:cat>
          <c:val>
            <c:numRef>
              <c:f>Sheet1!$B$2:$C$2</c:f>
              <c:numCache>
                <c:formatCode>#,###</c:formatCode>
                <c:ptCount val="2"/>
                <c:pt idx="0">
                  <c:v>18</c:v>
                </c:pt>
                <c:pt idx="1">
                  <c:v>80</c:v>
                </c:pt>
              </c:numCache>
            </c:numRef>
          </c:val>
          <c:extLst xmlns:c16r2="http://schemas.microsoft.com/office/drawing/2015/06/chart">
            <c:ext xmlns:c16="http://schemas.microsoft.com/office/drawing/2014/chart" uri="{C3380CC4-5D6E-409C-BE32-E72D297353CC}">
              <c16:uniqueId val="{00000000-6573-4DA3-AB44-BA78432DD3EA}"/>
            </c:ext>
          </c:extLst>
        </c:ser>
        <c:ser>
          <c:idx val="1"/>
          <c:order val="1"/>
          <c:tx>
            <c:strRef>
              <c:f>Sheet1!$A$3</c:f>
              <c:strCache>
                <c:ptCount val="1"/>
                <c:pt idx="0">
                  <c:v>Fall  2013</c:v>
                </c:pt>
              </c:strCache>
            </c:strRef>
          </c:tx>
          <c:spPr>
            <a:solidFill>
              <a:schemeClr val="accent2">
                <a:shade val="76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Admin/Mgrs</c:v>
                </c:pt>
                <c:pt idx="1">
                  <c:v>Classified Staff</c:v>
                </c:pt>
              </c:strCache>
            </c:strRef>
          </c:cat>
          <c:val>
            <c:numRef>
              <c:f>Sheet1!$B$3:$C$3</c:f>
              <c:numCache>
                <c:formatCode>#,###</c:formatCode>
                <c:ptCount val="2"/>
                <c:pt idx="0">
                  <c:v>22</c:v>
                </c:pt>
                <c:pt idx="1">
                  <c:v>85</c:v>
                </c:pt>
              </c:numCache>
            </c:numRef>
          </c:val>
          <c:extLst xmlns:c16r2="http://schemas.microsoft.com/office/drawing/2015/06/chart">
            <c:ext xmlns:c16="http://schemas.microsoft.com/office/drawing/2014/chart" uri="{C3380CC4-5D6E-409C-BE32-E72D297353CC}">
              <c16:uniqueId val="{00000001-6573-4DA3-AB44-BA78432DD3EA}"/>
            </c:ext>
          </c:extLst>
        </c:ser>
        <c:ser>
          <c:idx val="2"/>
          <c:order val="2"/>
          <c:tx>
            <c:strRef>
              <c:f>Sheet1!$A$4</c:f>
              <c:strCache>
                <c:ptCount val="1"/>
                <c:pt idx="0">
                  <c:v>Fall  2014</c:v>
                </c:pt>
              </c:strCache>
            </c:strRef>
          </c:tx>
          <c:spPr>
            <a:solidFill>
              <a:schemeClr val="accent2"/>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Admin/Mgrs</c:v>
                </c:pt>
                <c:pt idx="1">
                  <c:v>Classified Staff</c:v>
                </c:pt>
              </c:strCache>
            </c:strRef>
          </c:cat>
          <c:val>
            <c:numRef>
              <c:f>Sheet1!$B$4:$C$4</c:f>
              <c:numCache>
                <c:formatCode>#,###</c:formatCode>
                <c:ptCount val="2"/>
                <c:pt idx="0">
                  <c:v>24</c:v>
                </c:pt>
                <c:pt idx="1">
                  <c:v>91</c:v>
                </c:pt>
              </c:numCache>
            </c:numRef>
          </c:val>
          <c:extLst xmlns:c16r2="http://schemas.microsoft.com/office/drawing/2015/06/chart">
            <c:ext xmlns:c16="http://schemas.microsoft.com/office/drawing/2014/chart" uri="{C3380CC4-5D6E-409C-BE32-E72D297353CC}">
              <c16:uniqueId val="{00000002-6573-4DA3-AB44-BA78432DD3EA}"/>
            </c:ext>
          </c:extLst>
        </c:ser>
        <c:ser>
          <c:idx val="3"/>
          <c:order val="3"/>
          <c:tx>
            <c:strRef>
              <c:f>Sheet1!$A$5</c:f>
              <c:strCache>
                <c:ptCount val="1"/>
                <c:pt idx="0">
                  <c:v>Fall  2015</c:v>
                </c:pt>
              </c:strCache>
            </c:strRef>
          </c:tx>
          <c:spPr>
            <a:solidFill>
              <a:schemeClr val="accent2">
                <a:tint val="77000"/>
              </a:schemeClr>
            </a:solidFill>
            <a:ln>
              <a:noFill/>
            </a:ln>
            <a:effectLst/>
          </c:spPr>
          <c:invertIfNegative val="0"/>
          <c:dLbls>
            <c:spPr>
              <a:noFill/>
              <a:ln>
                <a:noFill/>
              </a:ln>
              <a:effectLst/>
            </c:spPr>
            <c:txPr>
              <a:bodyPr rot="-4200000" spcFirstLastPara="1" vertOverflow="ellipsis"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Sheet1!$B$1:$C$1</c:f>
              <c:strCache>
                <c:ptCount val="2"/>
                <c:pt idx="0">
                  <c:v>Admin/Mgrs</c:v>
                </c:pt>
                <c:pt idx="1">
                  <c:v>Classified Staff</c:v>
                </c:pt>
              </c:strCache>
            </c:strRef>
          </c:cat>
          <c:val>
            <c:numRef>
              <c:f>Sheet1!$B$5:$C$5</c:f>
              <c:numCache>
                <c:formatCode>#,###</c:formatCode>
                <c:ptCount val="2"/>
                <c:pt idx="0">
                  <c:v>24</c:v>
                </c:pt>
                <c:pt idx="1">
                  <c:v>95</c:v>
                </c:pt>
              </c:numCache>
            </c:numRef>
          </c:val>
          <c:extLst xmlns:c16r2="http://schemas.microsoft.com/office/drawing/2015/06/chart">
            <c:ext xmlns:c16="http://schemas.microsoft.com/office/drawing/2014/chart" uri="{C3380CC4-5D6E-409C-BE32-E72D297353CC}">
              <c16:uniqueId val="{00000003-6573-4DA3-AB44-BA78432DD3EA}"/>
            </c:ext>
          </c:extLst>
        </c:ser>
        <c:ser>
          <c:idx val="4"/>
          <c:order val="4"/>
          <c:tx>
            <c:strRef>
              <c:f>Sheet1!$A$6</c:f>
              <c:strCache>
                <c:ptCount val="1"/>
                <c:pt idx="0">
                  <c:v>Fall 2016</c:v>
                </c:pt>
              </c:strCache>
            </c:strRef>
          </c:tx>
          <c:spPr>
            <a:solidFill>
              <a:schemeClr val="accent2">
                <a:tint val="54000"/>
              </a:schemeClr>
            </a:solidFill>
            <a:ln>
              <a:noFill/>
            </a:ln>
            <a:effectLst/>
          </c:spPr>
          <c:invertIfNegative val="0"/>
          <c:dLbls>
            <c:spPr>
              <a:noFill/>
              <a:ln>
                <a:noFill/>
              </a:ln>
              <a:effectLst/>
            </c:spPr>
            <c:txPr>
              <a:bodyPr rot="-4200000" spcFirstLastPara="1" vertOverflow="ellipsis"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Sheet1!$B$1:$C$1</c:f>
              <c:strCache>
                <c:ptCount val="2"/>
                <c:pt idx="0">
                  <c:v>Admin/Mgrs</c:v>
                </c:pt>
                <c:pt idx="1">
                  <c:v>Classified Staff</c:v>
                </c:pt>
              </c:strCache>
            </c:strRef>
          </c:cat>
          <c:val>
            <c:numRef>
              <c:f>Sheet1!$B$6:$C$6</c:f>
              <c:numCache>
                <c:formatCode>#,###</c:formatCode>
                <c:ptCount val="2"/>
                <c:pt idx="0">
                  <c:v>23</c:v>
                </c:pt>
                <c:pt idx="1">
                  <c:v>95</c:v>
                </c:pt>
              </c:numCache>
            </c:numRef>
          </c:val>
          <c:extLst xmlns:c16r2="http://schemas.microsoft.com/office/drawing/2015/06/chart">
            <c:ext xmlns:c16="http://schemas.microsoft.com/office/drawing/2014/chart" uri="{C3380CC4-5D6E-409C-BE32-E72D297353CC}">
              <c16:uniqueId val="{00000004-6573-4DA3-AB44-BA78432DD3EA}"/>
            </c:ext>
          </c:extLst>
        </c:ser>
        <c:dLbls>
          <c:dLblPos val="outEnd"/>
          <c:showLegendKey val="0"/>
          <c:showVal val="1"/>
          <c:showCatName val="0"/>
          <c:showSerName val="0"/>
          <c:showPercent val="0"/>
          <c:showBubbleSize val="0"/>
        </c:dLbls>
        <c:gapWidth val="150"/>
        <c:axId val="243219144"/>
        <c:axId val="243219536"/>
      </c:barChart>
      <c:catAx>
        <c:axId val="24321914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19536"/>
        <c:crosses val="autoZero"/>
        <c:auto val="1"/>
        <c:lblAlgn val="ctr"/>
        <c:lblOffset val="100"/>
        <c:noMultiLvlLbl val="0"/>
      </c:catAx>
      <c:valAx>
        <c:axId val="243219536"/>
        <c:scaling>
          <c:orientation val="minMax"/>
          <c:max val="300"/>
          <c:min val="0"/>
        </c:scaling>
        <c:delete val="0"/>
        <c:axPos val="l"/>
        <c:majorGridlines>
          <c:spPr>
            <a:ln w="9525" cap="flat" cmpd="sng" algn="ctr">
              <a:solidFill>
                <a:schemeClr val="bg1">
                  <a:lumMod val="8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19144"/>
        <c:crosses val="autoZero"/>
        <c:crossBetween val="between"/>
        <c:majorUnit val="50"/>
      </c:valAx>
      <c:spPr>
        <a:solidFill>
          <a:schemeClr val="bg1"/>
        </a:solidFill>
        <a:ln>
          <a:noFill/>
        </a:ln>
        <a:effectLst/>
      </c:spPr>
    </c:plotArea>
    <c:legend>
      <c:legendPos val="b"/>
      <c:layout>
        <c:manualLayout>
          <c:xMode val="edge"/>
          <c:yMode val="edge"/>
          <c:x val="0.25096506303331201"/>
          <c:y val="0.89172685651135708"/>
          <c:w val="0.56271153694946474"/>
          <c:h val="0.108273412908958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t" anchorCtr="0"/>
          <a:lstStyle/>
          <a:p>
            <a:pPr>
              <a:defRPr sz="1050" b="1" i="0" u="none" strike="noStrike" kern="1200" baseline="0">
                <a:solidFill>
                  <a:schemeClr val="accent1"/>
                </a:solidFill>
                <a:latin typeface="Calibri" pitchFamily="34" charset="0"/>
                <a:ea typeface="+mn-ea"/>
                <a:cs typeface="+mn-cs"/>
              </a:defRPr>
            </a:pPr>
            <a:r>
              <a:rPr lang="en-US" sz="1000" b="1" i="0" u="heavy" strike="noStrike" baseline="0">
                <a:solidFill>
                  <a:schemeClr val="accent1"/>
                </a:solidFill>
                <a:effectLst/>
                <a:uFill>
                  <a:solidFill>
                    <a:schemeClr val="accent1"/>
                  </a:solidFill>
                </a:uFill>
                <a:latin typeface="Calibri" pitchFamily="34" charset="0"/>
              </a:rPr>
              <a:t>Coastline</a:t>
            </a:r>
            <a:r>
              <a:rPr lang="en-US" sz="1000" b="1" i="0" u="none" strike="noStrike" baseline="0">
                <a:solidFill>
                  <a:schemeClr val="accent1"/>
                </a:solidFill>
                <a:effectLst/>
                <a:uFill>
                  <a:solidFill>
                    <a:schemeClr val="accent1"/>
                  </a:solidFill>
                </a:uFill>
                <a:latin typeface="Calibri" pitchFamily="34" charset="0"/>
              </a:rPr>
              <a:t>     </a:t>
            </a:r>
            <a:r>
              <a:rPr lang="en-US" sz="1000" b="1" i="0" u="none" strike="noStrike" baseline="0">
                <a:solidFill>
                  <a:sysClr val="windowText" lastClr="000000"/>
                </a:solidFill>
                <a:effectLst/>
              </a:rPr>
              <a:t>Percent Female among Permanent Faculty, Classified Staff and Administrators/Managers</a:t>
            </a:r>
            <a:endParaRPr lang="en-US" sz="1000" u="heavy" baseline="0">
              <a:solidFill>
                <a:sysClr val="windowText" lastClr="000000"/>
              </a:solidFill>
              <a:uFill>
                <a:solidFill>
                  <a:schemeClr val="accent1"/>
                </a:solidFill>
              </a:uFill>
              <a:latin typeface="Calibri" pitchFamily="34" charset="0"/>
            </a:endParaRPr>
          </a:p>
        </c:rich>
      </c:tx>
      <c:layout>
        <c:manualLayout>
          <c:xMode val="edge"/>
          <c:yMode val="edge"/>
          <c:x val="0.10364720337935597"/>
          <c:y val="0"/>
        </c:manualLayout>
      </c:layout>
      <c:overlay val="1"/>
      <c:spPr>
        <a:noFill/>
        <a:ln>
          <a:noFill/>
        </a:ln>
        <a:effectLst/>
      </c:spPr>
    </c:title>
    <c:autoTitleDeleted val="0"/>
    <c:plotArea>
      <c:layout>
        <c:manualLayout>
          <c:layoutTarget val="inner"/>
          <c:xMode val="edge"/>
          <c:yMode val="edge"/>
          <c:x val="6.2981074734079295E-2"/>
          <c:y val="0.10030646904431065"/>
          <c:w val="0.72945841603594563"/>
          <c:h val="0.70164568577567021"/>
        </c:manualLayout>
      </c:layout>
      <c:barChart>
        <c:barDir val="col"/>
        <c:grouping val="clustered"/>
        <c:varyColors val="0"/>
        <c:ser>
          <c:idx val="0"/>
          <c:order val="0"/>
          <c:tx>
            <c:strRef>
              <c:f>Sheet1!$A$2</c:f>
              <c:strCache>
                <c:ptCount val="1"/>
                <c:pt idx="0">
                  <c:v>Fall 2012</c:v>
                </c:pt>
              </c:strCache>
            </c:strRef>
          </c:tx>
          <c:spPr>
            <a:solidFill>
              <a:schemeClr val="accent1">
                <a:shade val="53000"/>
              </a:schemeClr>
            </a:solidFill>
            <a:ln>
              <a:noFill/>
            </a:ln>
            <a:effectLst/>
          </c:spPr>
          <c:invertIfNegative val="0"/>
          <c:dLbls>
            <c:dLbl>
              <c:idx val="4"/>
              <c:layout>
                <c:manualLayout>
                  <c:x val="-5.1597414589104343E-2"/>
                  <c:y val="3.48918353105373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40-4824-9DC1-1F1B4FD9084B}"/>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chemeClr val="accent1">
                        <a:lumMod val="50000"/>
                      </a:schemeClr>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Sheet1!$B$2:$D$2</c:f>
              <c:numCache>
                <c:formatCode>#,###%</c:formatCode>
                <c:ptCount val="3"/>
                <c:pt idx="0">
                  <c:v>0.61538461538461497</c:v>
                </c:pt>
                <c:pt idx="1">
                  <c:v>0.70253164556962</c:v>
                </c:pt>
                <c:pt idx="2">
                  <c:v>0.55172413793103403</c:v>
                </c:pt>
              </c:numCache>
            </c:numRef>
          </c:val>
          <c:extLst xmlns:c16r2="http://schemas.microsoft.com/office/drawing/2015/06/chart">
            <c:ext xmlns:c16="http://schemas.microsoft.com/office/drawing/2014/chart" uri="{C3380CC4-5D6E-409C-BE32-E72D297353CC}">
              <c16:uniqueId val="{00000001-6F40-4824-9DC1-1F1B4FD9084B}"/>
            </c:ext>
          </c:extLst>
        </c:ser>
        <c:ser>
          <c:idx val="1"/>
          <c:order val="1"/>
          <c:tx>
            <c:strRef>
              <c:f>Sheet1!$A$3</c:f>
              <c:strCache>
                <c:ptCount val="1"/>
                <c:pt idx="0">
                  <c:v>Fall 2013</c:v>
                </c:pt>
              </c:strCache>
            </c:strRef>
          </c:tx>
          <c:spPr>
            <a:solidFill>
              <a:schemeClr val="accent1">
                <a:shade val="76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Sheet1!$B$3:$D$3</c:f>
              <c:numCache>
                <c:formatCode>#,###%</c:formatCode>
                <c:ptCount val="3"/>
                <c:pt idx="0">
                  <c:v>0.57142857142857095</c:v>
                </c:pt>
                <c:pt idx="1">
                  <c:v>0.70149253731343297</c:v>
                </c:pt>
                <c:pt idx="2">
                  <c:v>0.57692307692307698</c:v>
                </c:pt>
              </c:numCache>
            </c:numRef>
          </c:val>
          <c:extLst xmlns:c16r2="http://schemas.microsoft.com/office/drawing/2015/06/chart">
            <c:ext xmlns:c16="http://schemas.microsoft.com/office/drawing/2014/chart" uri="{C3380CC4-5D6E-409C-BE32-E72D297353CC}">
              <c16:uniqueId val="{00000002-6F40-4824-9DC1-1F1B4FD9084B}"/>
            </c:ext>
          </c:extLst>
        </c:ser>
        <c:ser>
          <c:idx val="2"/>
          <c:order val="2"/>
          <c:tx>
            <c:strRef>
              <c:f>Sheet1!$A$4</c:f>
              <c:strCache>
                <c:ptCount val="1"/>
                <c:pt idx="0">
                  <c:v>Fall 2014</c:v>
                </c:pt>
              </c:strCache>
            </c:strRef>
          </c:tx>
          <c:spPr>
            <a:solidFill>
              <a:schemeClr val="accent1"/>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Sheet1!$B$4:$D$4</c:f>
              <c:numCache>
                <c:formatCode>#,###%</c:formatCode>
                <c:ptCount val="3"/>
                <c:pt idx="0">
                  <c:v>0.547619047619048</c:v>
                </c:pt>
                <c:pt idx="1">
                  <c:v>0.6875</c:v>
                </c:pt>
                <c:pt idx="2">
                  <c:v>0.53571428571428603</c:v>
                </c:pt>
              </c:numCache>
            </c:numRef>
          </c:val>
          <c:extLst xmlns:c16r2="http://schemas.microsoft.com/office/drawing/2015/06/chart">
            <c:ext xmlns:c16="http://schemas.microsoft.com/office/drawing/2014/chart" uri="{C3380CC4-5D6E-409C-BE32-E72D297353CC}">
              <c16:uniqueId val="{00000003-6F40-4824-9DC1-1F1B4FD9084B}"/>
            </c:ext>
          </c:extLst>
        </c:ser>
        <c:ser>
          <c:idx val="3"/>
          <c:order val="3"/>
          <c:tx>
            <c:strRef>
              <c:f>Sheet1!$A$5</c:f>
              <c:strCache>
                <c:ptCount val="1"/>
                <c:pt idx="0">
                  <c:v>Fall 2015</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Sheet1!$B$5:$D$5</c:f>
              <c:numCache>
                <c:formatCode>#,###%</c:formatCode>
                <c:ptCount val="3"/>
                <c:pt idx="0">
                  <c:v>0.57446808510638303</c:v>
                </c:pt>
                <c:pt idx="1">
                  <c:v>0.66666666666666696</c:v>
                </c:pt>
                <c:pt idx="2">
                  <c:v>0.51612903225806495</c:v>
                </c:pt>
              </c:numCache>
            </c:numRef>
          </c:val>
          <c:extLst xmlns:c16r2="http://schemas.microsoft.com/office/drawing/2015/06/chart">
            <c:ext xmlns:c16="http://schemas.microsoft.com/office/drawing/2014/chart" uri="{C3380CC4-5D6E-409C-BE32-E72D297353CC}">
              <c16:uniqueId val="{00000004-6F40-4824-9DC1-1F1B4FD9084B}"/>
            </c:ext>
          </c:extLst>
        </c:ser>
        <c:ser>
          <c:idx val="4"/>
          <c:order val="4"/>
          <c:tx>
            <c:strRef>
              <c:f>Sheet1!$A$6</c:f>
              <c:strCache>
                <c:ptCount val="1"/>
                <c:pt idx="0">
                  <c:v>Fall 2016</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Sheet1!$B$6:$D$6</c:f>
              <c:numCache>
                <c:formatCode>#,###%</c:formatCode>
                <c:ptCount val="3"/>
                <c:pt idx="0">
                  <c:v>0.56000000000000005</c:v>
                </c:pt>
                <c:pt idx="1">
                  <c:v>0.62820512820512797</c:v>
                </c:pt>
                <c:pt idx="2">
                  <c:v>0.5</c:v>
                </c:pt>
              </c:numCache>
            </c:numRef>
          </c:val>
          <c:extLst xmlns:c16r2="http://schemas.microsoft.com/office/drawing/2015/06/chart">
            <c:ext xmlns:c16="http://schemas.microsoft.com/office/drawing/2014/chart" uri="{C3380CC4-5D6E-409C-BE32-E72D297353CC}">
              <c16:uniqueId val="{00000005-6F40-4824-9DC1-1F1B4FD9084B}"/>
            </c:ext>
          </c:extLst>
        </c:ser>
        <c:dLbls>
          <c:showLegendKey val="0"/>
          <c:showVal val="1"/>
          <c:showCatName val="0"/>
          <c:showSerName val="0"/>
          <c:showPercent val="0"/>
          <c:showBubbleSize val="0"/>
        </c:dLbls>
        <c:gapWidth val="150"/>
        <c:axId val="243220320"/>
        <c:axId val="243220712"/>
      </c:barChart>
      <c:catAx>
        <c:axId val="24322032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243220712"/>
        <c:crosses val="autoZero"/>
        <c:auto val="1"/>
        <c:lblAlgn val="ctr"/>
        <c:lblOffset val="100"/>
        <c:noMultiLvlLbl val="0"/>
      </c:catAx>
      <c:valAx>
        <c:axId val="243220712"/>
        <c:scaling>
          <c:orientation val="minMax"/>
          <c:max val="1"/>
          <c:min val="0"/>
        </c:scaling>
        <c:delete val="0"/>
        <c:axPos val="l"/>
        <c:majorGridlines>
          <c:spPr>
            <a:ln w="9525" cap="flat" cmpd="sng" algn="ctr">
              <a:solidFill>
                <a:schemeClr val="bg1">
                  <a:lumMod val="85000"/>
                </a:schemeClr>
              </a:solidFill>
              <a:prstDash val="solid"/>
              <a:round/>
            </a:ln>
            <a:effectLst/>
          </c:spPr>
        </c:majorGridlines>
        <c:numFmt formatCode="#,###%"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243220320"/>
        <c:crosses val="autoZero"/>
        <c:crossBetween val="between"/>
        <c:majorUnit val="0.1"/>
      </c:valAx>
      <c:spPr>
        <a:solidFill>
          <a:schemeClr val="bg1"/>
        </a:solidFill>
        <a:ln>
          <a:noFill/>
        </a:ln>
        <a:effectLst/>
      </c:spPr>
    </c:plotArea>
    <c:legend>
      <c:legendPos val="r"/>
      <c:layout>
        <c:manualLayout>
          <c:xMode val="edge"/>
          <c:yMode val="edge"/>
          <c:x val="0.82289891741371668"/>
          <c:y val="0.37333371931449738"/>
          <c:w val="8.6607629724954741E-2"/>
          <c:h val="0.52265496645438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mn-cs"/>
              </a:defRPr>
            </a:pPr>
            <a:r>
              <a:rPr lang="en-US" sz="900" b="1">
                <a:solidFill>
                  <a:schemeClr val="accent5"/>
                </a:solidFill>
                <a:latin typeface="Calibri" panose="020F0502020204030204" pitchFamily="34" charset="0"/>
              </a:rPr>
              <a:t>Golden West     </a:t>
            </a:r>
            <a:r>
              <a:rPr lang="en-US" sz="900" b="1">
                <a:latin typeface="Calibri" panose="020F0502020204030204" pitchFamily="34" charset="0"/>
              </a:rPr>
              <a:t>Percent Female among Permanent Faculty, Classified Staff and Administrators/Managers</a:t>
            </a:r>
          </a:p>
        </c:rich>
      </c:tx>
      <c:layout>
        <c:manualLayout>
          <c:xMode val="edge"/>
          <c:yMode val="edge"/>
          <c:x val="0.13261609195402299"/>
          <c:y val="0"/>
        </c:manualLayout>
      </c:layout>
      <c:overlay val="1"/>
      <c:spPr>
        <a:noFill/>
        <a:ln>
          <a:noFill/>
        </a:ln>
        <a:effectLst/>
      </c:spPr>
    </c:title>
    <c:autoTitleDeleted val="0"/>
    <c:plotArea>
      <c:layout>
        <c:manualLayout>
          <c:layoutTarget val="inner"/>
          <c:xMode val="edge"/>
          <c:yMode val="edge"/>
          <c:x val="6.1210679699520321E-2"/>
          <c:y val="0.10030646904431065"/>
          <c:w val="0.73858499411711465"/>
          <c:h val="0.79934309312927077"/>
        </c:manualLayout>
      </c:layout>
      <c:barChart>
        <c:barDir val="col"/>
        <c:grouping val="clustered"/>
        <c:varyColors val="0"/>
        <c:ser>
          <c:idx val="0"/>
          <c:order val="0"/>
          <c:tx>
            <c:strRef>
              <c:f>Sheet1!$A$2</c:f>
              <c:strCache>
                <c:ptCount val="1"/>
                <c:pt idx="0">
                  <c:v>Fall 2012</c:v>
                </c:pt>
              </c:strCache>
            </c:strRef>
          </c:tx>
          <c:spPr>
            <a:solidFill>
              <a:schemeClr val="accent5">
                <a:shade val="53000"/>
              </a:schemeClr>
            </a:solidFill>
            <a:ln>
              <a:noFill/>
            </a:ln>
            <a:effectLst/>
          </c:spPr>
          <c:invertIfNegative val="0"/>
          <c:dLbls>
            <c:dLbl>
              <c:idx val="1"/>
              <c:layout>
                <c:manualLayout>
                  <c:x val="-3.5925925925925925E-3"/>
                  <c:y val="-1.15473441108545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93-4205-BEC9-30A2031B21A1}"/>
                </c:ext>
                <c:ext xmlns:c15="http://schemas.microsoft.com/office/drawing/2012/chart" uri="{CE6537A1-D6FC-4f65-9D91-7224C49458BB}"/>
              </c:extLst>
            </c:dLbl>
            <c:dLbl>
              <c:idx val="2"/>
              <c:layout>
                <c:manualLayout>
                  <c:x val="-9.1481481481482836E-3"/>
                  <c:y val="-5.292471578391683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593-4205-BEC9-30A2031B21A1}"/>
                </c:ext>
                <c:ext xmlns:c15="http://schemas.microsoft.com/office/drawing/2012/chart" uri="{CE6537A1-D6FC-4f65-9D91-7224C49458BB}"/>
              </c:extLst>
            </c:dLbl>
            <c:dLbl>
              <c:idx val="3"/>
              <c:layout>
                <c:manualLayout>
                  <c:x val="-3.1370370370370368E-2"/>
                  <c:y val="-4.0415704387990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93-4205-BEC9-30A2031B21A1}"/>
                </c:ext>
                <c:ext xmlns:c15="http://schemas.microsoft.com/office/drawing/2012/chart" uri="{CE6537A1-D6FC-4f65-9D91-7224C49458BB}"/>
              </c:extLst>
            </c:dLbl>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Sheet1!$B$2:$D$2</c:f>
              <c:numCache>
                <c:formatCode>#,###%</c:formatCode>
                <c:ptCount val="3"/>
                <c:pt idx="0">
                  <c:v>0.58730158730158699</c:v>
                </c:pt>
                <c:pt idx="1">
                  <c:v>0.587209302325581</c:v>
                </c:pt>
                <c:pt idx="2">
                  <c:v>0.39393939393939398</c:v>
                </c:pt>
              </c:numCache>
            </c:numRef>
          </c:val>
          <c:extLst xmlns:c16r2="http://schemas.microsoft.com/office/drawing/2015/06/chart">
            <c:ext xmlns:c16="http://schemas.microsoft.com/office/drawing/2014/chart" uri="{C3380CC4-5D6E-409C-BE32-E72D297353CC}">
              <c16:uniqueId val="{00000003-D593-4205-BEC9-30A2031B21A1}"/>
            </c:ext>
          </c:extLst>
        </c:ser>
        <c:ser>
          <c:idx val="1"/>
          <c:order val="1"/>
          <c:tx>
            <c:strRef>
              <c:f>Sheet1!$A$3</c:f>
              <c:strCache>
                <c:ptCount val="1"/>
                <c:pt idx="0">
                  <c:v>Fall 2013</c:v>
                </c:pt>
              </c:strCache>
            </c:strRef>
          </c:tx>
          <c:spPr>
            <a:solidFill>
              <a:schemeClr val="accent5">
                <a:shade val="76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Sheet1!$B$3:$D$3</c:f>
              <c:numCache>
                <c:formatCode>#,###%</c:formatCode>
                <c:ptCount val="3"/>
                <c:pt idx="0">
                  <c:v>0.59523809523809501</c:v>
                </c:pt>
                <c:pt idx="1">
                  <c:v>0.59195402298850597</c:v>
                </c:pt>
                <c:pt idx="2">
                  <c:v>0.375</c:v>
                </c:pt>
              </c:numCache>
            </c:numRef>
          </c:val>
          <c:extLst xmlns:c16r2="http://schemas.microsoft.com/office/drawing/2015/06/chart">
            <c:ext xmlns:c16="http://schemas.microsoft.com/office/drawing/2014/chart" uri="{C3380CC4-5D6E-409C-BE32-E72D297353CC}">
              <c16:uniqueId val="{00000004-D593-4205-BEC9-30A2031B21A1}"/>
            </c:ext>
          </c:extLst>
        </c:ser>
        <c:ser>
          <c:idx val="2"/>
          <c:order val="2"/>
          <c:tx>
            <c:strRef>
              <c:f>Sheet1!$A$4</c:f>
              <c:strCache>
                <c:ptCount val="1"/>
                <c:pt idx="0">
                  <c:v>Fall 2014</c:v>
                </c:pt>
              </c:strCache>
            </c:strRef>
          </c:tx>
          <c:spPr>
            <a:solidFill>
              <a:schemeClr val="accent5"/>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Sheet1!$B$4:$D$4</c:f>
              <c:numCache>
                <c:formatCode>#,###%</c:formatCode>
                <c:ptCount val="3"/>
                <c:pt idx="0">
                  <c:v>0.578125</c:v>
                </c:pt>
                <c:pt idx="1">
                  <c:v>0.60451977401129897</c:v>
                </c:pt>
                <c:pt idx="2">
                  <c:v>0.441176470588235</c:v>
                </c:pt>
              </c:numCache>
            </c:numRef>
          </c:val>
          <c:extLst xmlns:c16r2="http://schemas.microsoft.com/office/drawing/2015/06/chart">
            <c:ext xmlns:c16="http://schemas.microsoft.com/office/drawing/2014/chart" uri="{C3380CC4-5D6E-409C-BE32-E72D297353CC}">
              <c16:uniqueId val="{00000005-D593-4205-BEC9-30A2031B21A1}"/>
            </c:ext>
          </c:extLst>
        </c:ser>
        <c:ser>
          <c:idx val="3"/>
          <c:order val="3"/>
          <c:tx>
            <c:strRef>
              <c:f>Sheet1!$A$5</c:f>
              <c:strCache>
                <c:ptCount val="1"/>
                <c:pt idx="0">
                  <c:v>Fall 2015</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Sheet1!$B$5:$D$5</c:f>
              <c:numCache>
                <c:formatCode>#,###%</c:formatCode>
                <c:ptCount val="3"/>
                <c:pt idx="0">
                  <c:v>0.61764705882352899</c:v>
                </c:pt>
                <c:pt idx="1">
                  <c:v>0.60588235294117598</c:v>
                </c:pt>
                <c:pt idx="2">
                  <c:v>0.42857142857142899</c:v>
                </c:pt>
              </c:numCache>
            </c:numRef>
          </c:val>
          <c:extLst xmlns:c16r2="http://schemas.microsoft.com/office/drawing/2015/06/chart">
            <c:ext xmlns:c16="http://schemas.microsoft.com/office/drawing/2014/chart" uri="{C3380CC4-5D6E-409C-BE32-E72D297353CC}">
              <c16:uniqueId val="{00000006-D593-4205-BEC9-30A2031B21A1}"/>
            </c:ext>
          </c:extLst>
        </c:ser>
        <c:ser>
          <c:idx val="4"/>
          <c:order val="4"/>
          <c:tx>
            <c:strRef>
              <c:f>Sheet1!$A$6</c:f>
              <c:strCache>
                <c:ptCount val="1"/>
                <c:pt idx="0">
                  <c:v>Fall 2016</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Sheet1!$B$6:$D$6</c:f>
              <c:numCache>
                <c:formatCode>#,###%</c:formatCode>
                <c:ptCount val="3"/>
                <c:pt idx="0">
                  <c:v>0.62411347517730498</c:v>
                </c:pt>
                <c:pt idx="1">
                  <c:v>0.61016949152542399</c:v>
                </c:pt>
                <c:pt idx="2">
                  <c:v>0.42</c:v>
                </c:pt>
              </c:numCache>
            </c:numRef>
          </c:val>
          <c:extLst xmlns:c16r2="http://schemas.microsoft.com/office/drawing/2015/06/chart">
            <c:ext xmlns:c16="http://schemas.microsoft.com/office/drawing/2014/chart" uri="{C3380CC4-5D6E-409C-BE32-E72D297353CC}">
              <c16:uniqueId val="{00000007-D593-4205-BEC9-30A2031B21A1}"/>
            </c:ext>
          </c:extLst>
        </c:ser>
        <c:dLbls>
          <c:showLegendKey val="0"/>
          <c:showVal val="1"/>
          <c:showCatName val="0"/>
          <c:showSerName val="0"/>
          <c:showPercent val="0"/>
          <c:showBubbleSize val="0"/>
        </c:dLbls>
        <c:gapWidth val="150"/>
        <c:axId val="243221496"/>
        <c:axId val="243221888"/>
      </c:barChart>
      <c:catAx>
        <c:axId val="24322149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43221888"/>
        <c:crosses val="autoZero"/>
        <c:auto val="1"/>
        <c:lblAlgn val="ctr"/>
        <c:lblOffset val="100"/>
        <c:noMultiLvlLbl val="0"/>
      </c:catAx>
      <c:valAx>
        <c:axId val="243221888"/>
        <c:scaling>
          <c:orientation val="minMax"/>
          <c:max val="1"/>
        </c:scaling>
        <c:delete val="0"/>
        <c:axPos val="l"/>
        <c:majorGridlines>
          <c:spPr>
            <a:ln w="9525" cap="flat" cmpd="sng" algn="ctr">
              <a:solidFill>
                <a:schemeClr val="bg1">
                  <a:lumMod val="85000"/>
                </a:schemeClr>
              </a:solidFill>
              <a:prstDash val="solid"/>
              <a:round/>
            </a:ln>
            <a:effectLst/>
          </c:spPr>
        </c:majorGridlines>
        <c:numFmt formatCode="#,###%"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43221496"/>
        <c:crosses val="autoZero"/>
        <c:crossBetween val="between"/>
      </c:valAx>
      <c:spPr>
        <a:solidFill>
          <a:schemeClr val="bg1"/>
        </a:solidFill>
        <a:ln>
          <a:noFill/>
        </a:ln>
        <a:effectLst/>
      </c:spPr>
    </c:plotArea>
    <c:legend>
      <c:legendPos val="r"/>
      <c:layout>
        <c:manualLayout>
          <c:xMode val="edge"/>
          <c:yMode val="edge"/>
          <c:x val="0.82459947650576604"/>
          <c:y val="0.36843175853018367"/>
          <c:w val="9.1383537599499201E-2"/>
          <c:h val="0.432427579058391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solidFill>
            <a:sysClr val="windowText" lastClr="000000"/>
          </a:solidFill>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baseline="0">
                <a:solidFill>
                  <a:schemeClr val="accent1"/>
                </a:solidFill>
                <a:latin typeface="Calibri" pitchFamily="34" charset="0"/>
                <a:ea typeface="+mn-ea"/>
                <a:cs typeface="+mn-cs"/>
              </a:defRPr>
            </a:pPr>
            <a:r>
              <a:rPr lang="en-US" sz="900" b="1" i="0" u="heavy" strike="noStrike" baseline="0">
                <a:solidFill>
                  <a:schemeClr val="accent6">
                    <a:lumMod val="75000"/>
                  </a:schemeClr>
                </a:solidFill>
                <a:effectLst/>
                <a:uFill>
                  <a:solidFill>
                    <a:schemeClr val="accent6">
                      <a:lumMod val="75000"/>
                    </a:schemeClr>
                  </a:solidFill>
                </a:uFill>
              </a:rPr>
              <a:t>Orange Coast</a:t>
            </a:r>
            <a:r>
              <a:rPr lang="en-US" sz="900" b="1" i="0" u="none" strike="noStrike" baseline="0">
                <a:effectLst/>
              </a:rPr>
              <a:t>     </a:t>
            </a:r>
            <a:r>
              <a:rPr lang="en-US" sz="900" b="1" i="0" u="none" strike="noStrike" baseline="0">
                <a:solidFill>
                  <a:sysClr val="windowText" lastClr="000000"/>
                </a:solidFill>
                <a:effectLst/>
              </a:rPr>
              <a:t>Percent Female among Permanent Faculty, Classified Staff and Administrators/Managers</a:t>
            </a:r>
            <a:endParaRPr lang="en-US" sz="900" u="heavy" baseline="0">
              <a:solidFill>
                <a:sysClr val="windowText" lastClr="000000"/>
              </a:solidFill>
              <a:uFill>
                <a:solidFill>
                  <a:schemeClr val="accent6">
                    <a:lumMod val="75000"/>
                  </a:schemeClr>
                </a:solidFill>
              </a:uFill>
              <a:latin typeface="Calibri" pitchFamily="34" charset="0"/>
            </a:endParaRPr>
          </a:p>
        </c:rich>
      </c:tx>
      <c:layout>
        <c:manualLayout>
          <c:xMode val="edge"/>
          <c:yMode val="edge"/>
          <c:x val="8.0805437029868463E-2"/>
          <c:y val="0"/>
        </c:manualLayout>
      </c:layout>
      <c:overlay val="1"/>
      <c:spPr>
        <a:noFill/>
        <a:ln>
          <a:noFill/>
        </a:ln>
        <a:effectLst/>
      </c:spPr>
    </c:title>
    <c:autoTitleDeleted val="0"/>
    <c:plotArea>
      <c:layout>
        <c:manualLayout>
          <c:layoutTarget val="inner"/>
          <c:xMode val="edge"/>
          <c:yMode val="edge"/>
          <c:x val="6.3049760159290438E-2"/>
          <c:y val="0.10030646904431065"/>
          <c:w val="0.72938959181826413"/>
          <c:h val="0.79934309312927077"/>
        </c:manualLayout>
      </c:layout>
      <c:barChart>
        <c:barDir val="col"/>
        <c:grouping val="clustered"/>
        <c:varyColors val="0"/>
        <c:ser>
          <c:idx val="0"/>
          <c:order val="0"/>
          <c:tx>
            <c:strRef>
              <c:f>Sheet1!$A$2</c:f>
              <c:strCache>
                <c:ptCount val="1"/>
                <c:pt idx="0">
                  <c:v>Fall 2012</c:v>
                </c:pt>
              </c:strCache>
            </c:strRef>
          </c:tx>
          <c:spPr>
            <a:solidFill>
              <a:schemeClr val="accent6">
                <a:shade val="53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Sheet1!$B$2:$D$2</c:f>
              <c:numCache>
                <c:formatCode>#,###%</c:formatCode>
                <c:ptCount val="3"/>
                <c:pt idx="0">
                  <c:v>0.502024291497977</c:v>
                </c:pt>
                <c:pt idx="1">
                  <c:v>0.56382978723404298</c:v>
                </c:pt>
                <c:pt idx="2">
                  <c:v>0.32500000000000001</c:v>
                </c:pt>
              </c:numCache>
            </c:numRef>
          </c:val>
          <c:extLst xmlns:c16r2="http://schemas.microsoft.com/office/drawing/2015/06/chart">
            <c:ext xmlns:c16="http://schemas.microsoft.com/office/drawing/2014/chart" uri="{C3380CC4-5D6E-409C-BE32-E72D297353CC}">
              <c16:uniqueId val="{00000000-938F-4D35-BC21-D7F9BF78134B}"/>
            </c:ext>
          </c:extLst>
        </c:ser>
        <c:ser>
          <c:idx val="1"/>
          <c:order val="1"/>
          <c:tx>
            <c:strRef>
              <c:f>Sheet1!$A$3</c:f>
              <c:strCache>
                <c:ptCount val="1"/>
                <c:pt idx="0">
                  <c:v>Fall 2013</c:v>
                </c:pt>
              </c:strCache>
            </c:strRef>
          </c:tx>
          <c:spPr>
            <a:solidFill>
              <a:schemeClr val="accent6">
                <a:shade val="76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Sheet1!$B$3:$D$3</c:f>
              <c:numCache>
                <c:formatCode>#,###%</c:formatCode>
                <c:ptCount val="3"/>
                <c:pt idx="0">
                  <c:v>0.50826446280991899</c:v>
                </c:pt>
                <c:pt idx="1">
                  <c:v>0.55474452554744502</c:v>
                </c:pt>
                <c:pt idx="2">
                  <c:v>0.26829268292682901</c:v>
                </c:pt>
              </c:numCache>
            </c:numRef>
          </c:val>
          <c:extLst xmlns:c16r2="http://schemas.microsoft.com/office/drawing/2015/06/chart">
            <c:ext xmlns:c16="http://schemas.microsoft.com/office/drawing/2014/chart" uri="{C3380CC4-5D6E-409C-BE32-E72D297353CC}">
              <c16:uniqueId val="{00000001-938F-4D35-BC21-D7F9BF78134B}"/>
            </c:ext>
          </c:extLst>
        </c:ser>
        <c:ser>
          <c:idx val="2"/>
          <c:order val="2"/>
          <c:tx>
            <c:strRef>
              <c:f>Sheet1!$A$4</c:f>
              <c:strCache>
                <c:ptCount val="1"/>
                <c:pt idx="0">
                  <c:v>Fall 2014</c:v>
                </c:pt>
              </c:strCache>
            </c:strRef>
          </c:tx>
          <c:spPr>
            <a:solidFill>
              <a:schemeClr val="accent6"/>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Sheet1!$B$4:$D$4</c:f>
              <c:numCache>
                <c:formatCode>#,###%</c:formatCode>
                <c:ptCount val="3"/>
                <c:pt idx="0">
                  <c:v>0.50813008130081505</c:v>
                </c:pt>
                <c:pt idx="1">
                  <c:v>0.58703071672355001</c:v>
                </c:pt>
                <c:pt idx="2">
                  <c:v>0.292682926829268</c:v>
                </c:pt>
              </c:numCache>
            </c:numRef>
          </c:val>
          <c:extLst xmlns:c16r2="http://schemas.microsoft.com/office/drawing/2015/06/chart">
            <c:ext xmlns:c16="http://schemas.microsoft.com/office/drawing/2014/chart" uri="{C3380CC4-5D6E-409C-BE32-E72D297353CC}">
              <c16:uniqueId val="{00000002-938F-4D35-BC21-D7F9BF78134B}"/>
            </c:ext>
          </c:extLst>
        </c:ser>
        <c:ser>
          <c:idx val="3"/>
          <c:order val="3"/>
          <c:tx>
            <c:strRef>
              <c:f>Sheet1!$A$5</c:f>
              <c:strCache>
                <c:ptCount val="1"/>
                <c:pt idx="0">
                  <c:v>Fall 2015</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Sheet1!$B$5:$D$5</c:f>
              <c:numCache>
                <c:formatCode>#,###%</c:formatCode>
                <c:ptCount val="3"/>
                <c:pt idx="0">
                  <c:v>0.49593495934959397</c:v>
                </c:pt>
                <c:pt idx="1">
                  <c:v>0.58803986710963496</c:v>
                </c:pt>
                <c:pt idx="2">
                  <c:v>0.32558139534883701</c:v>
                </c:pt>
              </c:numCache>
            </c:numRef>
          </c:val>
          <c:extLst xmlns:c16r2="http://schemas.microsoft.com/office/drawing/2015/06/chart">
            <c:ext xmlns:c16="http://schemas.microsoft.com/office/drawing/2014/chart" uri="{C3380CC4-5D6E-409C-BE32-E72D297353CC}">
              <c16:uniqueId val="{00000003-938F-4D35-BC21-D7F9BF78134B}"/>
            </c:ext>
          </c:extLst>
        </c:ser>
        <c:ser>
          <c:idx val="4"/>
          <c:order val="4"/>
          <c:tx>
            <c:strRef>
              <c:f>Sheet1!$A$6</c:f>
              <c:strCache>
                <c:ptCount val="1"/>
                <c:pt idx="0">
                  <c:v>Fall 2016</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Sheet1!$B$6:$D$6</c:f>
              <c:numCache>
                <c:formatCode>#,###%</c:formatCode>
                <c:ptCount val="3"/>
                <c:pt idx="0">
                  <c:v>0.501915708812261</c:v>
                </c:pt>
                <c:pt idx="1">
                  <c:v>0.58528428093645501</c:v>
                </c:pt>
                <c:pt idx="2">
                  <c:v>0.41176470588235298</c:v>
                </c:pt>
              </c:numCache>
            </c:numRef>
          </c:val>
          <c:extLst xmlns:c16r2="http://schemas.microsoft.com/office/drawing/2015/06/chart">
            <c:ext xmlns:c16="http://schemas.microsoft.com/office/drawing/2014/chart" uri="{C3380CC4-5D6E-409C-BE32-E72D297353CC}">
              <c16:uniqueId val="{00000004-938F-4D35-BC21-D7F9BF78134B}"/>
            </c:ext>
          </c:extLst>
        </c:ser>
        <c:dLbls>
          <c:showLegendKey val="0"/>
          <c:showVal val="1"/>
          <c:showCatName val="0"/>
          <c:showSerName val="0"/>
          <c:showPercent val="0"/>
          <c:showBubbleSize val="0"/>
        </c:dLbls>
        <c:gapWidth val="150"/>
        <c:axId val="243222672"/>
        <c:axId val="243223064"/>
      </c:barChart>
      <c:catAx>
        <c:axId val="24322267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23064"/>
        <c:crosses val="autoZero"/>
        <c:auto val="1"/>
        <c:lblAlgn val="ctr"/>
        <c:lblOffset val="100"/>
        <c:noMultiLvlLbl val="0"/>
      </c:catAx>
      <c:valAx>
        <c:axId val="243223064"/>
        <c:scaling>
          <c:orientation val="minMax"/>
          <c:max val="1"/>
        </c:scaling>
        <c:delete val="0"/>
        <c:axPos val="l"/>
        <c:majorGridlines>
          <c:spPr>
            <a:ln w="9525" cap="flat" cmpd="sng" algn="ctr">
              <a:solidFill>
                <a:schemeClr val="bg1">
                  <a:lumMod val="85000"/>
                </a:schemeClr>
              </a:solidFill>
              <a:prstDash val="solid"/>
              <a:round/>
            </a:ln>
            <a:effectLst/>
          </c:spPr>
        </c:majorGridlines>
        <c:numFmt formatCode="#,###%"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243222672"/>
        <c:crosses val="autoZero"/>
        <c:crossBetween val="between"/>
      </c:valAx>
      <c:spPr>
        <a:solidFill>
          <a:schemeClr val="bg1"/>
        </a:solidFill>
        <a:ln>
          <a:noFill/>
        </a:ln>
        <a:effectLst/>
      </c:spPr>
    </c:plotArea>
    <c:legend>
      <c:legendPos val="r"/>
      <c:layout>
        <c:manualLayout>
          <c:xMode val="edge"/>
          <c:yMode val="edge"/>
          <c:x val="0.82363174947959095"/>
          <c:y val="0.37333371931449738"/>
          <c:w val="9.5067622234009899E-2"/>
          <c:h val="0.416091426071741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baseline="0">
                <a:solidFill>
                  <a:schemeClr val="accent1"/>
                </a:solidFill>
                <a:latin typeface="Calibri" pitchFamily="34" charset="0"/>
                <a:ea typeface="+mn-ea"/>
                <a:cs typeface="+mn-cs"/>
              </a:defRPr>
            </a:pPr>
            <a:r>
              <a:rPr lang="en-US" sz="1100" b="1" i="0" u="heavy" strike="noStrike" baseline="0">
                <a:solidFill>
                  <a:schemeClr val="accent1"/>
                </a:solidFill>
                <a:effectLst/>
                <a:uFill>
                  <a:solidFill>
                    <a:schemeClr val="accent1"/>
                  </a:solidFill>
                </a:uFill>
                <a:latin typeface="Calibri" pitchFamily="34" charset="0"/>
              </a:rPr>
              <a:t>Coastline</a:t>
            </a:r>
            <a:r>
              <a:rPr lang="en-US" sz="1100" b="1" i="0" u="none" strike="noStrike" baseline="0">
                <a:solidFill>
                  <a:schemeClr val="accent1"/>
                </a:solidFill>
                <a:effectLst/>
                <a:uFill>
                  <a:solidFill>
                    <a:schemeClr val="accent1"/>
                  </a:solidFill>
                </a:uFill>
                <a:latin typeface="Calibri" pitchFamily="34" charset="0"/>
              </a:rPr>
              <a:t>     </a:t>
            </a:r>
            <a:r>
              <a:rPr lang="en-US" sz="900" b="1" i="0" u="none" strike="noStrike" baseline="0">
                <a:solidFill>
                  <a:sysClr val="windowText" lastClr="000000"/>
                </a:solidFill>
                <a:effectLst/>
              </a:rPr>
              <a:t>Percent Minorities among Permanent Faculty, Classified Staff and Administrators/Managers</a:t>
            </a:r>
            <a:endParaRPr lang="en-US" sz="900" u="heavy" baseline="0">
              <a:solidFill>
                <a:sysClr val="windowText" lastClr="000000"/>
              </a:solidFill>
              <a:uFill>
                <a:solidFill>
                  <a:schemeClr val="accent1"/>
                </a:solidFill>
              </a:uFill>
              <a:latin typeface="Calibri" pitchFamily="34" charset="0"/>
            </a:endParaRPr>
          </a:p>
        </c:rich>
      </c:tx>
      <c:layout>
        <c:manualLayout>
          <c:xMode val="edge"/>
          <c:yMode val="edge"/>
          <c:x val="0.13088484297096975"/>
          <c:y val="0"/>
        </c:manualLayout>
      </c:layout>
      <c:overlay val="1"/>
      <c:spPr>
        <a:noFill/>
        <a:ln>
          <a:noFill/>
        </a:ln>
        <a:effectLst/>
      </c:spPr>
    </c:title>
    <c:autoTitleDeleted val="0"/>
    <c:plotArea>
      <c:layout>
        <c:manualLayout>
          <c:layoutTarget val="inner"/>
          <c:xMode val="edge"/>
          <c:yMode val="edge"/>
          <c:x val="6.1261358836335281E-2"/>
          <c:y val="0.10030646904431065"/>
          <c:w val="0.73117814193445907"/>
          <c:h val="0.74717503318280198"/>
        </c:manualLayout>
      </c:layout>
      <c:barChart>
        <c:barDir val="col"/>
        <c:grouping val="clustered"/>
        <c:varyColors val="0"/>
        <c:ser>
          <c:idx val="0"/>
          <c:order val="0"/>
          <c:tx>
            <c:strRef>
              <c:f>Sheet1!$A$2</c:f>
              <c:strCache>
                <c:ptCount val="1"/>
                <c:pt idx="0">
                  <c:v>Fall 2012</c:v>
                </c:pt>
              </c:strCache>
            </c:strRef>
          </c:tx>
          <c:spPr>
            <a:solidFill>
              <a:schemeClr val="accent1">
                <a:shade val="53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Sheet1!$B$2:$D$2</c:f>
              <c:numCache>
                <c:formatCode>0%</c:formatCode>
                <c:ptCount val="3"/>
                <c:pt idx="0">
                  <c:v>0.25641025641025605</c:v>
                </c:pt>
                <c:pt idx="1">
                  <c:v>0.626582278481013</c:v>
                </c:pt>
                <c:pt idx="2">
                  <c:v>0.37931034482758597</c:v>
                </c:pt>
              </c:numCache>
            </c:numRef>
          </c:val>
          <c:extLst xmlns:c16r2="http://schemas.microsoft.com/office/drawing/2015/06/chart">
            <c:ext xmlns:c16="http://schemas.microsoft.com/office/drawing/2014/chart" uri="{C3380CC4-5D6E-409C-BE32-E72D297353CC}">
              <c16:uniqueId val="{00000000-5F0D-4EAA-9E70-1FF5FE8DB843}"/>
            </c:ext>
          </c:extLst>
        </c:ser>
        <c:ser>
          <c:idx val="1"/>
          <c:order val="1"/>
          <c:tx>
            <c:strRef>
              <c:f>Sheet1!$A$3</c:f>
              <c:strCache>
                <c:ptCount val="1"/>
                <c:pt idx="0">
                  <c:v>Fall 2013</c:v>
                </c:pt>
              </c:strCache>
            </c:strRef>
          </c:tx>
          <c:spPr>
            <a:solidFill>
              <a:schemeClr val="accent1">
                <a:shade val="76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Sheet1!$B$3:$D$3</c:f>
              <c:numCache>
                <c:formatCode>0%</c:formatCode>
                <c:ptCount val="3"/>
                <c:pt idx="0">
                  <c:v>0.28571428571428603</c:v>
                </c:pt>
                <c:pt idx="1">
                  <c:v>0.62686567164179108</c:v>
                </c:pt>
                <c:pt idx="2">
                  <c:v>0.30769230769230804</c:v>
                </c:pt>
              </c:numCache>
            </c:numRef>
          </c:val>
          <c:extLst xmlns:c16r2="http://schemas.microsoft.com/office/drawing/2015/06/chart">
            <c:ext xmlns:c16="http://schemas.microsoft.com/office/drawing/2014/chart" uri="{C3380CC4-5D6E-409C-BE32-E72D297353CC}">
              <c16:uniqueId val="{00000001-5F0D-4EAA-9E70-1FF5FE8DB843}"/>
            </c:ext>
          </c:extLst>
        </c:ser>
        <c:ser>
          <c:idx val="2"/>
          <c:order val="2"/>
          <c:tx>
            <c:strRef>
              <c:f>Sheet1!$A$4</c:f>
              <c:strCache>
                <c:ptCount val="1"/>
                <c:pt idx="0">
                  <c:v>Fall 2014</c:v>
                </c:pt>
              </c:strCache>
            </c:strRef>
          </c:tx>
          <c:spPr>
            <a:solidFill>
              <a:schemeClr val="accent1"/>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Sheet1!$B$4:$D$4</c:f>
              <c:numCache>
                <c:formatCode>0%</c:formatCode>
                <c:ptCount val="3"/>
                <c:pt idx="0">
                  <c:v>0.26190476190476197</c:v>
                </c:pt>
                <c:pt idx="1">
                  <c:v>0.63194444444444398</c:v>
                </c:pt>
                <c:pt idx="2">
                  <c:v>0.42857142857142805</c:v>
                </c:pt>
              </c:numCache>
            </c:numRef>
          </c:val>
          <c:extLst xmlns:c16r2="http://schemas.microsoft.com/office/drawing/2015/06/chart">
            <c:ext xmlns:c16="http://schemas.microsoft.com/office/drawing/2014/chart" uri="{C3380CC4-5D6E-409C-BE32-E72D297353CC}">
              <c16:uniqueId val="{00000002-5F0D-4EAA-9E70-1FF5FE8DB843}"/>
            </c:ext>
          </c:extLst>
        </c:ser>
        <c:ser>
          <c:idx val="3"/>
          <c:order val="3"/>
          <c:tx>
            <c:strRef>
              <c:f>Sheet1!$A$5</c:f>
              <c:strCache>
                <c:ptCount val="1"/>
                <c:pt idx="0">
                  <c:v>Fall 2015</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Sheet1!$B$5:$D$5</c:f>
              <c:numCache>
                <c:formatCode>0%</c:formatCode>
                <c:ptCount val="3"/>
                <c:pt idx="0">
                  <c:v>0.27659574468085102</c:v>
                </c:pt>
                <c:pt idx="1">
                  <c:v>0.62179487179487203</c:v>
                </c:pt>
                <c:pt idx="2">
                  <c:v>0.54838709677419395</c:v>
                </c:pt>
              </c:numCache>
            </c:numRef>
          </c:val>
          <c:extLst xmlns:c16r2="http://schemas.microsoft.com/office/drawing/2015/06/chart">
            <c:ext xmlns:c16="http://schemas.microsoft.com/office/drawing/2014/chart" uri="{C3380CC4-5D6E-409C-BE32-E72D297353CC}">
              <c16:uniqueId val="{00000003-5F0D-4EAA-9E70-1FF5FE8DB843}"/>
            </c:ext>
          </c:extLst>
        </c:ser>
        <c:ser>
          <c:idx val="4"/>
          <c:order val="4"/>
          <c:tx>
            <c:strRef>
              <c:f>Sheet1!$A$6</c:f>
              <c:strCache>
                <c:ptCount val="1"/>
                <c:pt idx="0">
                  <c:v>Fall 2016</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Sheet1!$B$6:$D$6</c:f>
              <c:numCache>
                <c:formatCode>0%</c:formatCode>
                <c:ptCount val="3"/>
                <c:pt idx="0">
                  <c:v>0.30000000000000004</c:v>
                </c:pt>
                <c:pt idx="1">
                  <c:v>0.63461538461538503</c:v>
                </c:pt>
                <c:pt idx="2">
                  <c:v>0.5</c:v>
                </c:pt>
              </c:numCache>
            </c:numRef>
          </c:val>
          <c:extLst xmlns:c16r2="http://schemas.microsoft.com/office/drawing/2015/06/chart">
            <c:ext xmlns:c16="http://schemas.microsoft.com/office/drawing/2014/chart" uri="{C3380CC4-5D6E-409C-BE32-E72D297353CC}">
              <c16:uniqueId val="{00000004-5F0D-4EAA-9E70-1FF5FE8DB843}"/>
            </c:ext>
          </c:extLst>
        </c:ser>
        <c:dLbls>
          <c:showLegendKey val="0"/>
          <c:showVal val="1"/>
          <c:showCatName val="0"/>
          <c:showSerName val="0"/>
          <c:showPercent val="0"/>
          <c:showBubbleSize val="0"/>
        </c:dLbls>
        <c:gapWidth val="150"/>
        <c:axId val="243223848"/>
        <c:axId val="243224240"/>
      </c:barChart>
      <c:catAx>
        <c:axId val="24322384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24240"/>
        <c:crosses val="autoZero"/>
        <c:auto val="1"/>
        <c:lblAlgn val="ctr"/>
        <c:lblOffset val="100"/>
        <c:noMultiLvlLbl val="0"/>
      </c:catAx>
      <c:valAx>
        <c:axId val="243224240"/>
        <c:scaling>
          <c:orientation val="minMax"/>
          <c:max val="0.8"/>
        </c:scaling>
        <c:delete val="0"/>
        <c:axPos val="l"/>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23848"/>
        <c:crosses val="autoZero"/>
        <c:crossBetween val="between"/>
      </c:valAx>
      <c:spPr>
        <a:solidFill>
          <a:schemeClr val="bg1"/>
        </a:solidFill>
        <a:ln>
          <a:noFill/>
        </a:ln>
        <a:effectLst/>
      </c:spPr>
    </c:plotArea>
    <c:legend>
      <c:legendPos val="r"/>
      <c:layout>
        <c:manualLayout>
          <c:xMode val="edge"/>
          <c:yMode val="edge"/>
          <c:x val="0.82411694411651093"/>
          <c:y val="0.37333371931449738"/>
          <c:w val="8.601197890153689E-2"/>
          <c:h val="0.488402065164091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baseline="0">
                <a:solidFill>
                  <a:schemeClr val="accent1"/>
                </a:solidFill>
                <a:latin typeface="Calibri" pitchFamily="34" charset="0"/>
                <a:ea typeface="+mn-ea"/>
                <a:cs typeface="+mn-cs"/>
              </a:defRPr>
            </a:pPr>
            <a:r>
              <a:rPr lang="en-US" sz="900" b="1" i="0" u="heavy" baseline="0">
                <a:solidFill>
                  <a:schemeClr val="accent3">
                    <a:lumMod val="75000"/>
                  </a:schemeClr>
                </a:solidFill>
                <a:effectLst/>
              </a:rPr>
              <a:t>Golden West</a:t>
            </a:r>
            <a:r>
              <a:rPr lang="en-US" sz="900" b="1" i="0" baseline="0">
                <a:effectLst/>
              </a:rPr>
              <a:t>     </a:t>
            </a:r>
            <a:r>
              <a:rPr lang="en-US" sz="900" b="1" i="0" baseline="0">
                <a:solidFill>
                  <a:sysClr val="windowText" lastClr="000000"/>
                </a:solidFill>
                <a:effectLst/>
              </a:rPr>
              <a:t>Percent Minorities among Permanent Faculty, Classified Staff and Administrators/Managers</a:t>
            </a:r>
            <a:endParaRPr lang="en-US" sz="900">
              <a:solidFill>
                <a:sysClr val="windowText" lastClr="000000"/>
              </a:solidFill>
              <a:effectLst/>
            </a:endParaRPr>
          </a:p>
        </c:rich>
      </c:tx>
      <c:layout>
        <c:manualLayout>
          <c:xMode val="edge"/>
          <c:yMode val="edge"/>
          <c:x val="0.12778388278388278"/>
          <c:y val="0"/>
        </c:manualLayout>
      </c:layout>
      <c:overlay val="1"/>
      <c:spPr>
        <a:noFill/>
        <a:ln>
          <a:noFill/>
        </a:ln>
        <a:effectLst/>
      </c:spPr>
    </c:title>
    <c:autoTitleDeleted val="0"/>
    <c:plotArea>
      <c:layout>
        <c:manualLayout>
          <c:layoutTarget val="inner"/>
          <c:xMode val="edge"/>
          <c:yMode val="edge"/>
          <c:x val="6.1318392893196037E-2"/>
          <c:y val="0.10248479649958075"/>
          <c:w val="0.73298433849614952"/>
          <c:h val="0.74565185224330177"/>
        </c:manualLayout>
      </c:layout>
      <c:barChart>
        <c:barDir val="col"/>
        <c:grouping val="clustered"/>
        <c:varyColors val="0"/>
        <c:ser>
          <c:idx val="0"/>
          <c:order val="0"/>
          <c:tx>
            <c:strRef>
              <c:f>Sheet1!$A$2</c:f>
              <c:strCache>
                <c:ptCount val="1"/>
                <c:pt idx="0">
                  <c:v>Fall 2012</c:v>
                </c:pt>
              </c:strCache>
            </c:strRef>
          </c:tx>
          <c:spPr>
            <a:solidFill>
              <a:schemeClr val="accent5">
                <a:shade val="53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Sheet1!$B$2:$D$2</c:f>
              <c:numCache>
                <c:formatCode>0%</c:formatCode>
                <c:ptCount val="3"/>
                <c:pt idx="0">
                  <c:v>0.37</c:v>
                </c:pt>
                <c:pt idx="1">
                  <c:v>0.51744186046511598</c:v>
                </c:pt>
                <c:pt idx="2">
                  <c:v>0.28000000000000003</c:v>
                </c:pt>
              </c:numCache>
            </c:numRef>
          </c:val>
          <c:extLst xmlns:c16r2="http://schemas.microsoft.com/office/drawing/2015/06/chart">
            <c:ext xmlns:c16="http://schemas.microsoft.com/office/drawing/2014/chart" uri="{C3380CC4-5D6E-409C-BE32-E72D297353CC}">
              <c16:uniqueId val="{00000000-68F6-4AA6-BC27-B080B10D0720}"/>
            </c:ext>
          </c:extLst>
        </c:ser>
        <c:ser>
          <c:idx val="1"/>
          <c:order val="1"/>
          <c:tx>
            <c:strRef>
              <c:f>Sheet1!$A$3</c:f>
              <c:strCache>
                <c:ptCount val="1"/>
                <c:pt idx="0">
                  <c:v>Fall 2013</c:v>
                </c:pt>
              </c:strCache>
            </c:strRef>
          </c:tx>
          <c:spPr>
            <a:solidFill>
              <a:schemeClr val="accent5">
                <a:shade val="76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Sheet1!$B$3:$D$3</c:f>
              <c:numCache>
                <c:formatCode>0%</c:formatCode>
                <c:ptCount val="3"/>
                <c:pt idx="0">
                  <c:v>0.36</c:v>
                </c:pt>
                <c:pt idx="1">
                  <c:v>0.5</c:v>
                </c:pt>
                <c:pt idx="2">
                  <c:v>0.28999999999999998</c:v>
                </c:pt>
              </c:numCache>
            </c:numRef>
          </c:val>
          <c:extLst xmlns:c16r2="http://schemas.microsoft.com/office/drawing/2015/06/chart">
            <c:ext xmlns:c16="http://schemas.microsoft.com/office/drawing/2014/chart" uri="{C3380CC4-5D6E-409C-BE32-E72D297353CC}">
              <c16:uniqueId val="{00000001-68F6-4AA6-BC27-B080B10D0720}"/>
            </c:ext>
          </c:extLst>
        </c:ser>
        <c:ser>
          <c:idx val="2"/>
          <c:order val="2"/>
          <c:tx>
            <c:strRef>
              <c:f>Sheet1!$A$4</c:f>
              <c:strCache>
                <c:ptCount val="1"/>
                <c:pt idx="0">
                  <c:v>Fall 2014</c:v>
                </c:pt>
              </c:strCache>
            </c:strRef>
          </c:tx>
          <c:spPr>
            <a:solidFill>
              <a:schemeClr val="accent5"/>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Sheet1!$B$4:$D$4</c:f>
              <c:numCache>
                <c:formatCode>0%</c:formatCode>
                <c:ptCount val="3"/>
                <c:pt idx="0">
                  <c:v>0.34375</c:v>
                </c:pt>
                <c:pt idx="1">
                  <c:v>0.51412429378531099</c:v>
                </c:pt>
                <c:pt idx="2">
                  <c:v>0.33</c:v>
                </c:pt>
              </c:numCache>
            </c:numRef>
          </c:val>
          <c:extLst xmlns:c16r2="http://schemas.microsoft.com/office/drawing/2015/06/chart">
            <c:ext xmlns:c16="http://schemas.microsoft.com/office/drawing/2014/chart" uri="{C3380CC4-5D6E-409C-BE32-E72D297353CC}">
              <c16:uniqueId val="{00000002-68F6-4AA6-BC27-B080B10D0720}"/>
            </c:ext>
          </c:extLst>
        </c:ser>
        <c:ser>
          <c:idx val="3"/>
          <c:order val="3"/>
          <c:tx>
            <c:strRef>
              <c:f>Sheet1!$A$5</c:f>
              <c:strCache>
                <c:ptCount val="1"/>
                <c:pt idx="0">
                  <c:v>Fall 2015</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Sheet1!$B$5:$D$5</c:f>
              <c:numCache>
                <c:formatCode>0%</c:formatCode>
                <c:ptCount val="3"/>
                <c:pt idx="0">
                  <c:v>0.36029411764705899</c:v>
                </c:pt>
                <c:pt idx="1">
                  <c:v>0.53529411764705892</c:v>
                </c:pt>
                <c:pt idx="2">
                  <c:v>0.32</c:v>
                </c:pt>
              </c:numCache>
            </c:numRef>
          </c:val>
          <c:extLst xmlns:c16r2="http://schemas.microsoft.com/office/drawing/2015/06/chart">
            <c:ext xmlns:c16="http://schemas.microsoft.com/office/drawing/2014/chart" uri="{C3380CC4-5D6E-409C-BE32-E72D297353CC}">
              <c16:uniqueId val="{00000003-68F6-4AA6-BC27-B080B10D0720}"/>
            </c:ext>
          </c:extLst>
        </c:ser>
        <c:ser>
          <c:idx val="4"/>
          <c:order val="4"/>
          <c:tx>
            <c:strRef>
              <c:f>Sheet1!$A$6</c:f>
              <c:strCache>
                <c:ptCount val="1"/>
                <c:pt idx="0">
                  <c:v>Fall 2016</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Sheet1!$B$6:$D$6</c:f>
              <c:numCache>
                <c:formatCode>0%</c:formatCode>
                <c:ptCount val="3"/>
                <c:pt idx="0">
                  <c:v>0.36</c:v>
                </c:pt>
                <c:pt idx="1">
                  <c:v>0.54</c:v>
                </c:pt>
                <c:pt idx="2">
                  <c:v>0.3</c:v>
                </c:pt>
              </c:numCache>
            </c:numRef>
          </c:val>
          <c:extLst xmlns:c16r2="http://schemas.microsoft.com/office/drawing/2015/06/chart">
            <c:ext xmlns:c16="http://schemas.microsoft.com/office/drawing/2014/chart" uri="{C3380CC4-5D6E-409C-BE32-E72D297353CC}">
              <c16:uniqueId val="{00000004-68F6-4AA6-BC27-B080B10D0720}"/>
            </c:ext>
          </c:extLst>
        </c:ser>
        <c:dLbls>
          <c:showLegendKey val="0"/>
          <c:showVal val="1"/>
          <c:showCatName val="0"/>
          <c:showSerName val="0"/>
          <c:showPercent val="0"/>
          <c:showBubbleSize val="0"/>
        </c:dLbls>
        <c:gapWidth val="150"/>
        <c:axId val="243225024"/>
        <c:axId val="243225416"/>
      </c:barChart>
      <c:catAx>
        <c:axId val="24322502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25416"/>
        <c:crosses val="autoZero"/>
        <c:auto val="1"/>
        <c:lblAlgn val="ctr"/>
        <c:lblOffset val="100"/>
        <c:noMultiLvlLbl val="0"/>
      </c:catAx>
      <c:valAx>
        <c:axId val="243225416"/>
        <c:scaling>
          <c:orientation val="minMax"/>
          <c:max val="0.8"/>
        </c:scaling>
        <c:delete val="0"/>
        <c:axPos val="l"/>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225024"/>
        <c:crosses val="autoZero"/>
        <c:crossBetween val="between"/>
      </c:valAx>
      <c:spPr>
        <a:solidFill>
          <a:schemeClr val="bg1"/>
        </a:solidFill>
        <a:ln>
          <a:noFill/>
        </a:ln>
        <a:effectLst/>
      </c:spPr>
    </c:plotArea>
    <c:legend>
      <c:legendPos val="r"/>
      <c:layout>
        <c:manualLayout>
          <c:xMode val="edge"/>
          <c:yMode val="edge"/>
          <c:x val="0.82435854172074641"/>
          <c:y val="0.37333371931449738"/>
          <c:w val="8.6936753167231429E-2"/>
          <c:h val="0.502660783173915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4F81BD"/>
                </a:solidFill>
                <a:latin typeface="Calibri" pitchFamily="34" charset="0"/>
                <a:ea typeface="+mn-ea"/>
                <a:cs typeface="+mn-cs"/>
              </a:defRPr>
            </a:pPr>
            <a:r>
              <a:rPr lang="en-US" sz="900" b="1" i="0" u="heavy" strike="noStrike" baseline="0">
                <a:solidFill>
                  <a:schemeClr val="accent6">
                    <a:lumMod val="75000"/>
                  </a:schemeClr>
                </a:solidFill>
                <a:effectLst/>
                <a:uFill>
                  <a:solidFill>
                    <a:schemeClr val="accent6">
                      <a:lumMod val="75000"/>
                    </a:schemeClr>
                  </a:solidFill>
                </a:uFill>
                <a:latin typeface="Calibri" pitchFamily="34" charset="0"/>
              </a:rPr>
              <a:t>Orange  Coast</a:t>
            </a:r>
            <a:r>
              <a:rPr lang="en-US" sz="900" b="1" i="0" baseline="0">
                <a:solidFill>
                  <a:sysClr val="windowText" lastClr="000000"/>
                </a:solidFill>
                <a:effectLst/>
              </a:rPr>
              <a:t>     Percent Minorities among Permanent Faculty, Classified Staff and Administrators/Managers</a:t>
            </a:r>
            <a:endParaRPr lang="en-US" sz="900" u="heavy" baseline="0">
              <a:solidFill>
                <a:sysClr val="windowText" lastClr="000000"/>
              </a:solidFill>
              <a:uFill>
                <a:solidFill>
                  <a:schemeClr val="accent6">
                    <a:lumMod val="75000"/>
                  </a:schemeClr>
                </a:solidFill>
              </a:uFill>
              <a:latin typeface="Calibri" pitchFamily="34" charset="0"/>
            </a:endParaRPr>
          </a:p>
        </c:rich>
      </c:tx>
      <c:layout>
        <c:manualLayout>
          <c:xMode val="edge"/>
          <c:yMode val="edge"/>
          <c:x val="0.11126232321688717"/>
          <c:y val="0"/>
        </c:manualLayout>
      </c:layout>
      <c:overlay val="1"/>
      <c:spPr>
        <a:noFill/>
        <a:ln>
          <a:noFill/>
        </a:ln>
        <a:effectLst/>
      </c:spPr>
    </c:title>
    <c:autoTitleDeleted val="0"/>
    <c:plotArea>
      <c:layout>
        <c:manualLayout>
          <c:layoutTarget val="inner"/>
          <c:xMode val="edge"/>
          <c:yMode val="edge"/>
          <c:x val="6.0771805174972111E-2"/>
          <c:y val="0.10030646904431065"/>
          <c:w val="0.7330121630257016"/>
          <c:h val="0.73193474678152592"/>
        </c:manualLayout>
      </c:layout>
      <c:barChart>
        <c:barDir val="col"/>
        <c:grouping val="clustered"/>
        <c:varyColors val="0"/>
        <c:ser>
          <c:idx val="0"/>
          <c:order val="0"/>
          <c:tx>
            <c:strRef>
              <c:f>Sheet1!$A$2</c:f>
              <c:strCache>
                <c:ptCount val="1"/>
                <c:pt idx="0">
                  <c:v>Fall 2012</c:v>
                </c:pt>
              </c:strCache>
            </c:strRef>
          </c:tx>
          <c:spPr>
            <a:solidFill>
              <a:schemeClr val="accent6">
                <a:shade val="53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Sheet1!$B$2:$D$2</c:f>
              <c:numCache>
                <c:formatCode>0%</c:formatCode>
                <c:ptCount val="3"/>
                <c:pt idx="0">
                  <c:v>0.26315789473684104</c:v>
                </c:pt>
                <c:pt idx="1">
                  <c:v>0.52127659574468099</c:v>
                </c:pt>
                <c:pt idx="2">
                  <c:v>0.25</c:v>
                </c:pt>
              </c:numCache>
            </c:numRef>
          </c:val>
          <c:extLst xmlns:c16r2="http://schemas.microsoft.com/office/drawing/2015/06/chart">
            <c:ext xmlns:c16="http://schemas.microsoft.com/office/drawing/2014/chart" uri="{C3380CC4-5D6E-409C-BE32-E72D297353CC}">
              <c16:uniqueId val="{00000000-66D8-4759-9BC6-41C0690C041B}"/>
            </c:ext>
          </c:extLst>
        </c:ser>
        <c:ser>
          <c:idx val="1"/>
          <c:order val="1"/>
          <c:tx>
            <c:strRef>
              <c:f>Sheet1!$A$3</c:f>
              <c:strCache>
                <c:ptCount val="1"/>
                <c:pt idx="0">
                  <c:v>Fall 2013</c:v>
                </c:pt>
              </c:strCache>
            </c:strRef>
          </c:tx>
          <c:spPr>
            <a:solidFill>
              <a:schemeClr val="accent6">
                <a:shade val="76000"/>
              </a:schemeClr>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Sheet1!$B$3:$D$3</c:f>
              <c:numCache>
                <c:formatCode>0%</c:formatCode>
                <c:ptCount val="3"/>
                <c:pt idx="0">
                  <c:v>0.26859504132231304</c:v>
                </c:pt>
                <c:pt idx="1">
                  <c:v>0.52554744525547403</c:v>
                </c:pt>
                <c:pt idx="2">
                  <c:v>0.292682926829268</c:v>
                </c:pt>
              </c:numCache>
            </c:numRef>
          </c:val>
          <c:extLst xmlns:c16r2="http://schemas.microsoft.com/office/drawing/2015/06/chart">
            <c:ext xmlns:c16="http://schemas.microsoft.com/office/drawing/2014/chart" uri="{C3380CC4-5D6E-409C-BE32-E72D297353CC}">
              <c16:uniqueId val="{00000001-66D8-4759-9BC6-41C0690C041B}"/>
            </c:ext>
          </c:extLst>
        </c:ser>
        <c:ser>
          <c:idx val="2"/>
          <c:order val="2"/>
          <c:tx>
            <c:strRef>
              <c:f>Sheet1!$A$4</c:f>
              <c:strCache>
                <c:ptCount val="1"/>
                <c:pt idx="0">
                  <c:v>Fall 2014</c:v>
                </c:pt>
              </c:strCache>
            </c:strRef>
          </c:tx>
          <c:spPr>
            <a:solidFill>
              <a:schemeClr val="accent6"/>
            </a:solidFill>
            <a:ln>
              <a:noFill/>
            </a:ln>
            <a:effectLst/>
          </c:spPr>
          <c:invertIfNegative val="0"/>
          <c:dLbls>
            <c:spPr>
              <a:solidFill>
                <a:sysClr val="window" lastClr="FFFFFF">
                  <a:alpha val="60000"/>
                </a:sys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FT  Faculty</c:v>
                </c:pt>
                <c:pt idx="1">
                  <c:v>Classified  Staff</c:v>
                </c:pt>
                <c:pt idx="2">
                  <c:v>Admin/Mgrs</c:v>
                </c:pt>
              </c:strCache>
            </c:strRef>
          </c:cat>
          <c:val>
            <c:numRef>
              <c:f>Sheet1!$B$4:$D$4</c:f>
              <c:numCache>
                <c:formatCode>0%</c:formatCode>
                <c:ptCount val="3"/>
                <c:pt idx="0">
                  <c:v>0.26016260162601501</c:v>
                </c:pt>
                <c:pt idx="1">
                  <c:v>0.56313993174061405</c:v>
                </c:pt>
                <c:pt idx="2">
                  <c:v>0.24390243902439002</c:v>
                </c:pt>
              </c:numCache>
            </c:numRef>
          </c:val>
          <c:extLst xmlns:c16r2="http://schemas.microsoft.com/office/drawing/2015/06/chart">
            <c:ext xmlns:c16="http://schemas.microsoft.com/office/drawing/2014/chart" uri="{C3380CC4-5D6E-409C-BE32-E72D297353CC}">
              <c16:uniqueId val="{00000002-66D8-4759-9BC6-41C0690C041B}"/>
            </c:ext>
          </c:extLst>
        </c:ser>
        <c:ser>
          <c:idx val="3"/>
          <c:order val="3"/>
          <c:tx>
            <c:strRef>
              <c:f>Sheet1!$A$5</c:f>
              <c:strCache>
                <c:ptCount val="1"/>
                <c:pt idx="0">
                  <c:v>Fall 2015</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Sheet1!$B$5:$D$5</c:f>
              <c:numCache>
                <c:formatCode>0%</c:formatCode>
                <c:ptCount val="3"/>
                <c:pt idx="0">
                  <c:v>0.28048780487804803</c:v>
                </c:pt>
                <c:pt idx="1">
                  <c:v>0.55149501661129596</c:v>
                </c:pt>
                <c:pt idx="2">
                  <c:v>0.27906976744186096</c:v>
                </c:pt>
              </c:numCache>
            </c:numRef>
          </c:val>
          <c:extLst xmlns:c16r2="http://schemas.microsoft.com/office/drawing/2015/06/chart">
            <c:ext xmlns:c16="http://schemas.microsoft.com/office/drawing/2014/chart" uri="{C3380CC4-5D6E-409C-BE32-E72D297353CC}">
              <c16:uniqueId val="{00000003-66D8-4759-9BC6-41C0690C041B}"/>
            </c:ext>
          </c:extLst>
        </c:ser>
        <c:ser>
          <c:idx val="4"/>
          <c:order val="4"/>
          <c:tx>
            <c:strRef>
              <c:f>Sheet1!$A$6</c:f>
              <c:strCache>
                <c:ptCount val="1"/>
                <c:pt idx="0">
                  <c:v>Fall 2016</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Sheet1!$B$1:$D$1</c:f>
              <c:strCache>
                <c:ptCount val="3"/>
                <c:pt idx="0">
                  <c:v>FT  Faculty</c:v>
                </c:pt>
                <c:pt idx="1">
                  <c:v>Classified  Staff</c:v>
                </c:pt>
                <c:pt idx="2">
                  <c:v>Admin/Mgrs</c:v>
                </c:pt>
              </c:strCache>
            </c:strRef>
          </c:cat>
          <c:val>
            <c:numRef>
              <c:f>Sheet1!$B$6:$D$6</c:f>
              <c:numCache>
                <c:formatCode>0%</c:formatCode>
                <c:ptCount val="3"/>
                <c:pt idx="0">
                  <c:v>0.29118773946360199</c:v>
                </c:pt>
                <c:pt idx="1">
                  <c:v>0.565217391304348</c:v>
                </c:pt>
                <c:pt idx="2">
                  <c:v>0.31372549019607798</c:v>
                </c:pt>
              </c:numCache>
            </c:numRef>
          </c:val>
          <c:extLst xmlns:c16r2="http://schemas.microsoft.com/office/drawing/2015/06/chart">
            <c:ext xmlns:c16="http://schemas.microsoft.com/office/drawing/2014/chart" uri="{C3380CC4-5D6E-409C-BE32-E72D297353CC}">
              <c16:uniqueId val="{00000004-66D8-4759-9BC6-41C0690C041B}"/>
            </c:ext>
          </c:extLst>
        </c:ser>
        <c:dLbls>
          <c:showLegendKey val="0"/>
          <c:showVal val="1"/>
          <c:showCatName val="0"/>
          <c:showSerName val="0"/>
          <c:showPercent val="0"/>
          <c:showBubbleSize val="0"/>
        </c:dLbls>
        <c:gapWidth val="150"/>
        <c:axId val="243735120"/>
        <c:axId val="243735512"/>
      </c:barChart>
      <c:catAx>
        <c:axId val="24373512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735512"/>
        <c:crosses val="autoZero"/>
        <c:auto val="1"/>
        <c:lblAlgn val="ctr"/>
        <c:lblOffset val="100"/>
        <c:noMultiLvlLbl val="0"/>
      </c:catAx>
      <c:valAx>
        <c:axId val="243735512"/>
        <c:scaling>
          <c:orientation val="minMax"/>
          <c:max val="0.8"/>
        </c:scaling>
        <c:delete val="0"/>
        <c:axPos val="l"/>
        <c:majorGridlines>
          <c:spPr>
            <a:ln w="9525" cap="flat" cmpd="sng" algn="ctr">
              <a:solidFill>
                <a:schemeClr val="bg1">
                  <a:lumMod val="8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735120"/>
        <c:crosses val="autoZero"/>
        <c:crossBetween val="between"/>
      </c:valAx>
      <c:spPr>
        <a:solidFill>
          <a:schemeClr val="bg1"/>
        </a:solidFill>
        <a:ln>
          <a:noFill/>
        </a:ln>
        <a:effectLst/>
      </c:spPr>
    </c:plotArea>
    <c:legend>
      <c:legendPos val="r"/>
      <c:layout>
        <c:manualLayout>
          <c:xMode val="edge"/>
          <c:yMode val="edge"/>
          <c:x val="0.82411694411651093"/>
          <c:y val="0.37333371931449738"/>
          <c:w val="8.601197890153689E-2"/>
          <c:h val="0.50486320655822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b="1" i="0" u="heavy" strike="noStrike" baseline="0">
                <a:solidFill>
                  <a:schemeClr val="tx2">
                    <a:lumMod val="60000"/>
                    <a:lumOff val="40000"/>
                  </a:schemeClr>
                </a:solidFill>
                <a:effectLst/>
                <a:uFill>
                  <a:solidFill>
                    <a:schemeClr val="accent1"/>
                  </a:solidFill>
                </a:uFill>
                <a:latin typeface="Calibri" pitchFamily="34" charset="0"/>
              </a:rPr>
              <a:t>Coastline</a:t>
            </a:r>
            <a:endParaRPr lang="en-US" sz="1100" u="heavy" baseline="0">
              <a:solidFill>
                <a:schemeClr val="tx2">
                  <a:lumMod val="60000"/>
                  <a:lumOff val="40000"/>
                </a:schemeClr>
              </a:solidFill>
              <a:uFill>
                <a:solidFill>
                  <a:schemeClr val="accent1"/>
                </a:solidFill>
              </a:uFill>
              <a:latin typeface="Calibri" pitchFamily="34" charset="0"/>
            </a:endParaRPr>
          </a:p>
        </c:rich>
      </c:tx>
      <c:layout>
        <c:manualLayout>
          <c:xMode val="edge"/>
          <c:yMode val="edge"/>
          <c:x val="8.1823604003668865E-2"/>
          <c:y val="0"/>
        </c:manualLayout>
      </c:layout>
      <c:overlay val="1"/>
    </c:title>
    <c:autoTitleDeleted val="0"/>
    <c:plotArea>
      <c:layout>
        <c:manualLayout>
          <c:layoutTarget val="inner"/>
          <c:xMode val="edge"/>
          <c:yMode val="edge"/>
          <c:x val="6.4626320050242686E-2"/>
          <c:y val="9.6197760249560463E-2"/>
          <c:w val="0.73681213084878916"/>
          <c:h val="0.79471551247731675"/>
        </c:manualLayout>
      </c:layout>
      <c:lineChart>
        <c:grouping val="standard"/>
        <c:varyColors val="0"/>
        <c:ser>
          <c:idx val="1"/>
          <c:order val="0"/>
          <c:tx>
            <c:strRef>
              <c:f>Sheet1!$C$1</c:f>
              <c:strCache>
                <c:ptCount val="1"/>
                <c:pt idx="0">
                  <c:v>Face to Face</c:v>
                </c:pt>
              </c:strCache>
            </c:strRef>
          </c:tx>
          <c:spPr>
            <a:ln w="25400" cap="flat" cmpd="sng" algn="ctr">
              <a:solidFill>
                <a:schemeClr val="accent1"/>
              </a:solidFill>
              <a:prstDash val="solid"/>
            </a:ln>
            <a:effectLst/>
          </c:spPr>
          <c:marker>
            <c:symbol val="diamond"/>
            <c:size val="7"/>
            <c:spPr>
              <a:noFill/>
              <a:ln w="25400" cap="flat" cmpd="sng" algn="ctr">
                <a:solidFill>
                  <a:srgbClr val="4F81BD"/>
                </a:solidFill>
                <a:prstDash val="solid"/>
              </a:ln>
              <a:effectLst/>
            </c:spPr>
          </c:marker>
          <c:dLbls>
            <c:spPr>
              <a:noFill/>
              <a:ln>
                <a:noFill/>
              </a:ln>
              <a:effectLst/>
            </c:spPr>
            <c:txPr>
              <a:bodyPr/>
              <a:lstStyle/>
              <a:p>
                <a:pPr>
                  <a:defRPr sz="800" b="1">
                    <a:solidFill>
                      <a:schemeClr val="accent1"/>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0.0%</c:formatCode>
                <c:ptCount val="5"/>
                <c:pt idx="0">
                  <c:v>0.76300000000000001</c:v>
                </c:pt>
                <c:pt idx="1">
                  <c:v>0.76600000000000001</c:v>
                </c:pt>
                <c:pt idx="2">
                  <c:v>0.79400000000000004</c:v>
                </c:pt>
                <c:pt idx="3">
                  <c:v>0.78300000000000003</c:v>
                </c:pt>
                <c:pt idx="4">
                  <c:v>0.80500000000000005</c:v>
                </c:pt>
              </c:numCache>
            </c:numRef>
          </c:val>
          <c:smooth val="0"/>
          <c:extLst xmlns:c16r2="http://schemas.microsoft.com/office/drawing/2015/06/chart">
            <c:ext xmlns:c16="http://schemas.microsoft.com/office/drawing/2014/chart" uri="{C3380CC4-5D6E-409C-BE32-E72D297353CC}">
              <c16:uniqueId val="{00000000-F249-44D4-8528-21A3D53B0FC0}"/>
            </c:ext>
          </c:extLst>
        </c:ser>
        <c:ser>
          <c:idx val="0"/>
          <c:order val="1"/>
          <c:tx>
            <c:strRef>
              <c:f>Sheet1!$B$1</c:f>
              <c:strCache>
                <c:ptCount val="1"/>
                <c:pt idx="0">
                  <c:v>Online</c:v>
                </c:pt>
              </c:strCache>
            </c:strRef>
          </c:tx>
          <c:spPr>
            <a:ln w="25400" cap="flat" cmpd="sng" algn="ctr">
              <a:solidFill>
                <a:schemeClr val="accent1">
                  <a:lumMod val="40000"/>
                  <a:lumOff val="60000"/>
                </a:schemeClr>
              </a:solidFill>
              <a:prstDash val="solid"/>
            </a:ln>
            <a:effectLst/>
          </c:spPr>
          <c:marker>
            <c:symbol val="diamond"/>
            <c:size val="7"/>
            <c:spPr>
              <a:noFill/>
              <a:ln w="25400" cap="flat" cmpd="sng" algn="ctr">
                <a:solidFill>
                  <a:srgbClr val="4F81BD">
                    <a:lumMod val="40000"/>
                    <a:lumOff val="60000"/>
                  </a:srgbClr>
                </a:solidFill>
                <a:prstDash val="solid"/>
              </a:ln>
              <a:effectLst/>
            </c:spPr>
          </c:marker>
          <c:dLbls>
            <c:spPr>
              <a:noFill/>
              <a:ln>
                <a:noFill/>
              </a:ln>
              <a:effectLst/>
            </c:spPr>
            <c:txPr>
              <a:bodyPr/>
              <a:lstStyle/>
              <a:p>
                <a:pPr>
                  <a:defRPr sz="800" b="1">
                    <a:solidFill>
                      <a:schemeClr val="tx2">
                        <a:lumMod val="40000"/>
                        <a:lumOff val="60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0.0%</c:formatCode>
                <c:ptCount val="5"/>
                <c:pt idx="0">
                  <c:v>0.60099999999999998</c:v>
                </c:pt>
                <c:pt idx="1">
                  <c:v>0.61099999999999999</c:v>
                </c:pt>
                <c:pt idx="2">
                  <c:v>0.60099999999999998</c:v>
                </c:pt>
                <c:pt idx="3">
                  <c:v>0.61099999999999999</c:v>
                </c:pt>
                <c:pt idx="4">
                  <c:v>0.65400000000000003</c:v>
                </c:pt>
              </c:numCache>
            </c:numRef>
          </c:val>
          <c:smooth val="0"/>
          <c:extLst xmlns:c16r2="http://schemas.microsoft.com/office/drawing/2015/06/chart">
            <c:ext xmlns:c16="http://schemas.microsoft.com/office/drawing/2014/chart" uri="{C3380CC4-5D6E-409C-BE32-E72D297353CC}">
              <c16:uniqueId val="{00000001-F249-44D4-8528-21A3D53B0FC0}"/>
            </c:ext>
          </c:extLst>
        </c:ser>
        <c:dLbls>
          <c:dLblPos val="t"/>
          <c:showLegendKey val="0"/>
          <c:showVal val="1"/>
          <c:showCatName val="0"/>
          <c:showSerName val="0"/>
          <c:showPercent val="0"/>
          <c:showBubbleSize val="0"/>
        </c:dLbls>
        <c:marker val="1"/>
        <c:smooth val="0"/>
        <c:axId val="235938632"/>
        <c:axId val="235939024"/>
      </c:lineChart>
      <c:catAx>
        <c:axId val="235938632"/>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5939024"/>
        <c:crosses val="autoZero"/>
        <c:auto val="1"/>
        <c:lblAlgn val="ctr"/>
        <c:lblOffset val="100"/>
        <c:noMultiLvlLbl val="0"/>
      </c:catAx>
      <c:valAx>
        <c:axId val="235939024"/>
        <c:scaling>
          <c:orientation val="minMax"/>
          <c:max val="1"/>
          <c:min val="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35938632"/>
        <c:crosses val="autoZero"/>
        <c:crossBetween val="between"/>
      </c:valAx>
    </c:plotArea>
    <c:legend>
      <c:legendPos val="r"/>
      <c:layout>
        <c:manualLayout>
          <c:xMode val="edge"/>
          <c:yMode val="edge"/>
          <c:x val="0.85186685689185115"/>
          <c:y val="0.4093588301462317"/>
          <c:w val="0.14813314310814882"/>
          <c:h val="0.18128233970753657"/>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Calibri" pitchFamily="34" charset="0"/>
                <a:ea typeface="+mn-ea"/>
                <a:cs typeface="+mn-cs"/>
              </a:defRPr>
            </a:pPr>
            <a:r>
              <a:rPr lang="en-US" sz="1100" b="1" i="0" u="none" strike="noStrike" baseline="0">
                <a:effectLst/>
              </a:rPr>
              <a:t>CCCD Building Space – Campus Assignable Sqare Footage - By Site Summary</a:t>
            </a:r>
            <a:endParaRPr lang="en-US" sz="1100"/>
          </a:p>
        </c:rich>
      </c:tx>
      <c:layout>
        <c:manualLayout>
          <c:xMode val="edge"/>
          <c:yMode val="edge"/>
          <c:x val="0.21974183107662285"/>
          <c:y val="9.91571641051066E-3"/>
        </c:manualLayout>
      </c:layout>
      <c:overlay val="1"/>
      <c:spPr>
        <a:noFill/>
        <a:ln>
          <a:noFill/>
        </a:ln>
        <a:effectLst/>
      </c:spPr>
    </c:title>
    <c:autoTitleDeleted val="0"/>
    <c:plotArea>
      <c:layout>
        <c:manualLayout>
          <c:layoutTarget val="inner"/>
          <c:xMode val="edge"/>
          <c:yMode val="edge"/>
          <c:x val="0.11084159472144181"/>
          <c:y val="0.23480134656443566"/>
          <c:w val="0.88915841744132185"/>
          <c:h val="0.54187124961795308"/>
        </c:manualLayout>
      </c:layout>
      <c:barChart>
        <c:barDir val="col"/>
        <c:grouping val="clustered"/>
        <c:varyColors val="0"/>
        <c:ser>
          <c:idx val="0"/>
          <c:order val="0"/>
          <c:tx>
            <c:strRef>
              <c:f>Sheet1!$B$1</c:f>
              <c:strCache>
                <c:ptCount val="1"/>
                <c:pt idx="0">
                  <c:v>2010-11</c:v>
                </c:pt>
              </c:strCache>
            </c:strRef>
          </c:tx>
          <c:spPr>
            <a:solidFill>
              <a:schemeClr val="accent4">
                <a:shade val="47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 Office</c:v>
                </c:pt>
              </c:strCache>
            </c:strRef>
          </c:cat>
          <c:val>
            <c:numRef>
              <c:f>Sheet1!$B$2:$B$5</c:f>
              <c:numCache>
                <c:formatCode>#,##0</c:formatCode>
                <c:ptCount val="4"/>
                <c:pt idx="0">
                  <c:v>125448</c:v>
                </c:pt>
                <c:pt idx="1">
                  <c:v>480951</c:v>
                </c:pt>
                <c:pt idx="2">
                  <c:v>651951</c:v>
                </c:pt>
                <c:pt idx="3">
                  <c:v>82736</c:v>
                </c:pt>
              </c:numCache>
            </c:numRef>
          </c:val>
          <c:extLst xmlns:c16r2="http://schemas.microsoft.com/office/drawing/2015/06/chart">
            <c:ext xmlns:c16="http://schemas.microsoft.com/office/drawing/2014/chart" uri="{C3380CC4-5D6E-409C-BE32-E72D297353CC}">
              <c16:uniqueId val="{00000000-545B-42CF-82EA-BD77F6A757AB}"/>
            </c:ext>
          </c:extLst>
        </c:ser>
        <c:ser>
          <c:idx val="1"/>
          <c:order val="1"/>
          <c:tx>
            <c:strRef>
              <c:f>Sheet1!$C$1</c:f>
              <c:strCache>
                <c:ptCount val="1"/>
                <c:pt idx="0">
                  <c:v>2011-12</c:v>
                </c:pt>
              </c:strCache>
            </c:strRef>
          </c:tx>
          <c:spPr>
            <a:solidFill>
              <a:schemeClr val="accent4">
                <a:shade val="65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 Office</c:v>
                </c:pt>
              </c:strCache>
            </c:strRef>
          </c:cat>
          <c:val>
            <c:numRef>
              <c:f>Sheet1!$C$2:$C$5</c:f>
              <c:numCache>
                <c:formatCode>#,##0</c:formatCode>
                <c:ptCount val="4"/>
                <c:pt idx="0">
                  <c:v>125448</c:v>
                </c:pt>
                <c:pt idx="1">
                  <c:v>518272</c:v>
                </c:pt>
                <c:pt idx="2">
                  <c:v>699406</c:v>
                </c:pt>
                <c:pt idx="3">
                  <c:v>82736</c:v>
                </c:pt>
              </c:numCache>
            </c:numRef>
          </c:val>
          <c:extLst xmlns:c16r2="http://schemas.microsoft.com/office/drawing/2015/06/chart">
            <c:ext xmlns:c16="http://schemas.microsoft.com/office/drawing/2014/chart" uri="{C3380CC4-5D6E-409C-BE32-E72D297353CC}">
              <c16:uniqueId val="{00000001-545B-42CF-82EA-BD77F6A757AB}"/>
            </c:ext>
          </c:extLst>
        </c:ser>
        <c:ser>
          <c:idx val="2"/>
          <c:order val="2"/>
          <c:tx>
            <c:strRef>
              <c:f>Sheet1!$D$1</c:f>
              <c:strCache>
                <c:ptCount val="1"/>
                <c:pt idx="0">
                  <c:v>2012-13</c:v>
                </c:pt>
              </c:strCache>
            </c:strRef>
          </c:tx>
          <c:spPr>
            <a:solidFill>
              <a:schemeClr val="accent4">
                <a:shade val="82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 Office</c:v>
                </c:pt>
              </c:strCache>
            </c:strRef>
          </c:cat>
          <c:val>
            <c:numRef>
              <c:f>Sheet1!$D$2:$D$5</c:f>
              <c:numCache>
                <c:formatCode>#,##0</c:formatCode>
                <c:ptCount val="4"/>
                <c:pt idx="0">
                  <c:v>139273</c:v>
                </c:pt>
                <c:pt idx="1">
                  <c:v>518240</c:v>
                </c:pt>
                <c:pt idx="2">
                  <c:v>693584</c:v>
                </c:pt>
                <c:pt idx="3">
                  <c:v>81691</c:v>
                </c:pt>
              </c:numCache>
            </c:numRef>
          </c:val>
          <c:extLst xmlns:c16r2="http://schemas.microsoft.com/office/drawing/2015/06/chart">
            <c:ext xmlns:c16="http://schemas.microsoft.com/office/drawing/2014/chart" uri="{C3380CC4-5D6E-409C-BE32-E72D297353CC}">
              <c16:uniqueId val="{00000002-545B-42CF-82EA-BD77F6A757AB}"/>
            </c:ext>
          </c:extLst>
        </c:ser>
        <c:ser>
          <c:idx val="3"/>
          <c:order val="3"/>
          <c:tx>
            <c:strRef>
              <c:f>Sheet1!$E$1</c:f>
              <c:strCache>
                <c:ptCount val="1"/>
                <c:pt idx="0">
                  <c:v>2013-14</c:v>
                </c:pt>
              </c:strCache>
            </c:strRef>
          </c:tx>
          <c:spPr>
            <a:solidFill>
              <a:schemeClr val="accent4"/>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 Office</c:v>
                </c:pt>
              </c:strCache>
            </c:strRef>
          </c:cat>
          <c:val>
            <c:numRef>
              <c:f>Sheet1!$E$2:$E$5</c:f>
              <c:numCache>
                <c:formatCode>#,##0</c:formatCode>
                <c:ptCount val="4"/>
                <c:pt idx="0">
                  <c:v>139547</c:v>
                </c:pt>
                <c:pt idx="1">
                  <c:v>518240</c:v>
                </c:pt>
                <c:pt idx="2">
                  <c:v>693777</c:v>
                </c:pt>
                <c:pt idx="3">
                  <c:v>61533</c:v>
                </c:pt>
              </c:numCache>
            </c:numRef>
          </c:val>
          <c:extLst xmlns:c16r2="http://schemas.microsoft.com/office/drawing/2015/06/chart">
            <c:ext xmlns:c16="http://schemas.microsoft.com/office/drawing/2014/chart" uri="{C3380CC4-5D6E-409C-BE32-E72D297353CC}">
              <c16:uniqueId val="{00000003-545B-42CF-82EA-BD77F6A757AB}"/>
            </c:ext>
          </c:extLst>
        </c:ser>
        <c:ser>
          <c:idx val="4"/>
          <c:order val="4"/>
          <c:tx>
            <c:strRef>
              <c:f>Sheet1!$F$1</c:f>
              <c:strCache>
                <c:ptCount val="1"/>
                <c:pt idx="0">
                  <c:v>2014-15</c:v>
                </c:pt>
              </c:strCache>
            </c:strRef>
          </c:tx>
          <c:spPr>
            <a:solidFill>
              <a:schemeClr val="accent4">
                <a:tint val="83000"/>
              </a:schemeClr>
            </a:solidFill>
            <a:ln>
              <a:noFill/>
            </a:ln>
            <a:effectLst/>
          </c:spPr>
          <c:invertIfNegative val="0"/>
          <c:dLbls>
            <c:spPr>
              <a:noFill/>
              <a:ln>
                <a:noFill/>
              </a:ln>
              <a:effectLst/>
            </c:spPr>
            <c:txPr>
              <a:bodyPr rot="-4200000" spcFirstLastPara="1" vertOverflow="ellipsis" wrap="square" anchor="ctr" anchorCtr="1"/>
              <a:lstStyle/>
              <a:p>
                <a:pPr>
                  <a:defRPr sz="8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Coastline</c:v>
                </c:pt>
                <c:pt idx="1">
                  <c:v>Golden West</c:v>
                </c:pt>
                <c:pt idx="2">
                  <c:v>Orange Coast</c:v>
                </c:pt>
                <c:pt idx="3">
                  <c:v>District Office</c:v>
                </c:pt>
              </c:strCache>
            </c:strRef>
          </c:cat>
          <c:val>
            <c:numRef>
              <c:f>Sheet1!$F$2:$F$5</c:f>
              <c:numCache>
                <c:formatCode>#,##0</c:formatCode>
                <c:ptCount val="4"/>
                <c:pt idx="0">
                  <c:v>139547</c:v>
                </c:pt>
                <c:pt idx="1">
                  <c:v>518240</c:v>
                </c:pt>
                <c:pt idx="2">
                  <c:v>693777</c:v>
                </c:pt>
                <c:pt idx="3">
                  <c:v>61533</c:v>
                </c:pt>
              </c:numCache>
            </c:numRef>
          </c:val>
          <c:extLst xmlns:c16r2="http://schemas.microsoft.com/office/drawing/2015/06/chart">
            <c:ext xmlns:c16="http://schemas.microsoft.com/office/drawing/2014/chart" uri="{C3380CC4-5D6E-409C-BE32-E72D297353CC}">
              <c16:uniqueId val="{00000004-545B-42CF-82EA-BD77F6A757AB}"/>
            </c:ext>
          </c:extLst>
        </c:ser>
        <c:ser>
          <c:idx val="5"/>
          <c:order val="5"/>
          <c:tx>
            <c:strRef>
              <c:f>Sheet1!$G$1</c:f>
              <c:strCache>
                <c:ptCount val="1"/>
                <c:pt idx="0">
                  <c:v>2015-16</c:v>
                </c:pt>
              </c:strCache>
            </c:strRef>
          </c:tx>
          <c:spPr>
            <a:solidFill>
              <a:schemeClr val="accent4">
                <a:tint val="65000"/>
              </a:schemeClr>
            </a:solidFill>
            <a:ln>
              <a:noFill/>
            </a:ln>
            <a:effectLst/>
          </c:spPr>
          <c:invertIfNegative val="0"/>
          <c:dLbls>
            <c:spPr>
              <a:noFill/>
              <a:ln>
                <a:noFill/>
              </a:ln>
              <a:effectLst/>
            </c:spPr>
            <c:txPr>
              <a:bodyPr rot="-4200000" spcFirstLastPara="1" vertOverflow="ellipsis" wrap="square" lIns="38100" tIns="19050" rIns="38100" bIns="19050" anchor="ctr" anchorCtr="1">
                <a:spAutoFit/>
              </a:bodyPr>
              <a:lstStyle/>
              <a:p>
                <a:pPr>
                  <a:defRPr sz="800" b="0" i="0" u="none" strike="noStrike" kern="1200" baseline="0">
                    <a:solidFill>
                      <a:schemeClr val="tx1"/>
                    </a:solidFill>
                    <a:latin typeface="Calibri"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Coastline</c:v>
                </c:pt>
                <c:pt idx="1">
                  <c:v>Golden West</c:v>
                </c:pt>
                <c:pt idx="2">
                  <c:v>Orange Coast</c:v>
                </c:pt>
                <c:pt idx="3">
                  <c:v>District Office</c:v>
                </c:pt>
              </c:strCache>
            </c:strRef>
          </c:cat>
          <c:val>
            <c:numRef>
              <c:f>Sheet1!$G$2:$G$5</c:f>
              <c:numCache>
                <c:formatCode>#,##0</c:formatCode>
                <c:ptCount val="4"/>
                <c:pt idx="0">
                  <c:v>139547</c:v>
                </c:pt>
                <c:pt idx="1">
                  <c:v>513897</c:v>
                </c:pt>
                <c:pt idx="2">
                  <c:v>717046</c:v>
                </c:pt>
                <c:pt idx="3">
                  <c:v>61533</c:v>
                </c:pt>
              </c:numCache>
            </c:numRef>
          </c:val>
          <c:extLst xmlns:c16r2="http://schemas.microsoft.com/office/drawing/2015/06/chart">
            <c:ext xmlns:c16="http://schemas.microsoft.com/office/drawing/2014/chart" uri="{C3380CC4-5D6E-409C-BE32-E72D297353CC}">
              <c16:uniqueId val="{00000005-545B-42CF-82EA-BD77F6A757AB}"/>
            </c:ext>
          </c:extLst>
        </c:ser>
        <c:ser>
          <c:idx val="6"/>
          <c:order val="6"/>
          <c:tx>
            <c:strRef>
              <c:f>Sheet1!$H$1</c:f>
              <c:strCache>
                <c:ptCount val="1"/>
                <c:pt idx="0">
                  <c:v>2020 Proj Need</c:v>
                </c:pt>
              </c:strCache>
            </c:strRef>
          </c:tx>
          <c:spPr>
            <a:solidFill>
              <a:srgbClr val="FF0000"/>
            </a:solidFill>
            <a:ln>
              <a:noFill/>
            </a:ln>
            <a:effectLst/>
          </c:spPr>
          <c:invertIfNegative val="0"/>
          <c:dLbls>
            <c:spPr>
              <a:noFill/>
              <a:ln>
                <a:noFill/>
              </a:ln>
              <a:effectLst/>
            </c:spPr>
            <c:txPr>
              <a:bodyPr rot="-4200000" spcFirstLastPara="1" vertOverflow="ellipsis" wrap="square" lIns="38100" tIns="19050" rIns="38100" bIns="19050" anchor="ctr" anchorCtr="1">
                <a:spAutoFit/>
              </a:bodyPr>
              <a:lstStyle/>
              <a:p>
                <a:pPr>
                  <a:defRPr sz="800" b="0" i="0" u="none" strike="noStrike" kern="1200" baseline="0">
                    <a:solidFill>
                      <a:schemeClr val="tx1"/>
                    </a:solidFill>
                    <a:latin typeface="Calibri"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Coastline</c:v>
                </c:pt>
                <c:pt idx="1">
                  <c:v>Golden West</c:v>
                </c:pt>
                <c:pt idx="2">
                  <c:v>Orange Coast</c:v>
                </c:pt>
                <c:pt idx="3">
                  <c:v>District Office</c:v>
                </c:pt>
              </c:strCache>
            </c:strRef>
          </c:cat>
          <c:val>
            <c:numRef>
              <c:f>Sheet1!$H$2:$H$5</c:f>
              <c:numCache>
                <c:formatCode>#,##0</c:formatCode>
                <c:ptCount val="4"/>
                <c:pt idx="0">
                  <c:v>175942</c:v>
                </c:pt>
                <c:pt idx="1">
                  <c:v>427586</c:v>
                </c:pt>
                <c:pt idx="2">
                  <c:v>725110</c:v>
                </c:pt>
                <c:pt idx="3">
                  <c:v>82736</c:v>
                </c:pt>
              </c:numCache>
            </c:numRef>
          </c:val>
          <c:extLst xmlns:c16r2="http://schemas.microsoft.com/office/drawing/2015/06/chart">
            <c:ext xmlns:c16="http://schemas.microsoft.com/office/drawing/2014/chart" uri="{C3380CC4-5D6E-409C-BE32-E72D297353CC}">
              <c16:uniqueId val="{00000006-545B-42CF-82EA-BD77F6A757AB}"/>
            </c:ext>
          </c:extLst>
        </c:ser>
        <c:dLbls>
          <c:showLegendKey val="0"/>
          <c:showVal val="0"/>
          <c:showCatName val="0"/>
          <c:showSerName val="0"/>
          <c:showPercent val="0"/>
          <c:showBubbleSize val="0"/>
        </c:dLbls>
        <c:gapWidth val="150"/>
        <c:axId val="243736296"/>
        <c:axId val="243736688"/>
      </c:barChart>
      <c:catAx>
        <c:axId val="24373629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736688"/>
        <c:crosses val="autoZero"/>
        <c:auto val="1"/>
        <c:lblAlgn val="ctr"/>
        <c:lblOffset val="100"/>
        <c:noMultiLvlLbl val="0"/>
      </c:catAx>
      <c:valAx>
        <c:axId val="243736688"/>
        <c:scaling>
          <c:orientation val="minMax"/>
        </c:scaling>
        <c:delete val="0"/>
        <c:axPos val="l"/>
        <c:majorGridlines>
          <c:spPr>
            <a:ln w="9525" cap="flat" cmpd="sng" algn="ctr">
              <a:solidFill>
                <a:schemeClr val="bg1">
                  <a:lumMod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Calibri" pitchFamily="34" charset="0"/>
                    <a:ea typeface="+mn-ea"/>
                    <a:cs typeface="+mn-cs"/>
                  </a:defRPr>
                </a:pPr>
                <a:r>
                  <a:rPr lang="en-US" b="0"/>
                  <a:t>Gross  Sq</a:t>
                </a:r>
                <a:r>
                  <a:rPr lang="en-US" b="0" baseline="0"/>
                  <a:t>  Ft</a:t>
                </a:r>
                <a:endParaRPr lang="en-US" b="0"/>
              </a:p>
            </c:rich>
          </c:tx>
          <c:overlay val="0"/>
          <c:spPr>
            <a:noFill/>
            <a:ln>
              <a:noFill/>
            </a:ln>
            <a:effectLst/>
          </c:sp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243736296"/>
        <c:crosses val="autoZero"/>
        <c:crossBetween val="between"/>
      </c:valAx>
      <c:spPr>
        <a:solidFill>
          <a:schemeClr val="bg1"/>
        </a:solidFill>
        <a:ln>
          <a:noFill/>
        </a:ln>
        <a:effectLst/>
      </c:spPr>
    </c:plotArea>
    <c:legend>
      <c:legendPos val="b"/>
      <c:layout>
        <c:manualLayout>
          <c:xMode val="edge"/>
          <c:yMode val="edge"/>
          <c:x val="0.12765569435579466"/>
          <c:y val="0.91999656463368451"/>
          <c:w val="0.74525767711150637"/>
          <c:h val="7.10387483238136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Calibri"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chemeClr val="accent3">
                    <a:lumMod val="75000"/>
                  </a:schemeClr>
                </a:solidFill>
              </a:defRPr>
            </a:pPr>
            <a:r>
              <a:rPr lang="en-US" sz="1100" b="1" i="0" u="heavy" strike="noStrike" baseline="0">
                <a:solidFill>
                  <a:schemeClr val="accent3">
                    <a:lumMod val="75000"/>
                  </a:schemeClr>
                </a:solidFill>
                <a:effectLst/>
                <a:uFill>
                  <a:solidFill>
                    <a:schemeClr val="accent3">
                      <a:lumMod val="75000"/>
                    </a:schemeClr>
                  </a:solidFill>
                </a:uFill>
                <a:latin typeface="Calibri" pitchFamily="34" charset="0"/>
              </a:rPr>
              <a:t>Golden West</a:t>
            </a:r>
            <a:endParaRPr lang="en-US" sz="1100" u="heavy" baseline="0">
              <a:solidFill>
                <a:schemeClr val="accent3">
                  <a:lumMod val="75000"/>
                </a:schemeClr>
              </a:solidFill>
              <a:uFill>
                <a:solidFill>
                  <a:schemeClr val="accent3">
                    <a:lumMod val="75000"/>
                  </a:schemeClr>
                </a:solidFill>
              </a:uFill>
              <a:latin typeface="Calibri" pitchFamily="34" charset="0"/>
            </a:endParaRPr>
          </a:p>
        </c:rich>
      </c:tx>
      <c:layout>
        <c:manualLayout>
          <c:xMode val="edge"/>
          <c:yMode val="edge"/>
          <c:x val="7.4439412441761194E-2"/>
          <c:y val="0"/>
        </c:manualLayout>
      </c:layout>
      <c:overlay val="1"/>
    </c:title>
    <c:autoTitleDeleted val="0"/>
    <c:plotArea>
      <c:layout>
        <c:manualLayout>
          <c:layoutTarget val="inner"/>
          <c:xMode val="edge"/>
          <c:yMode val="edge"/>
          <c:x val="6.0855512895598797E-2"/>
          <c:y val="0.10349571539838631"/>
          <c:w val="0.73854956147010553"/>
          <c:h val="0.77576505419367192"/>
        </c:manualLayout>
      </c:layout>
      <c:lineChart>
        <c:grouping val="standard"/>
        <c:varyColors val="0"/>
        <c:ser>
          <c:idx val="1"/>
          <c:order val="0"/>
          <c:tx>
            <c:strRef>
              <c:f>Sheet1!$C$1</c:f>
              <c:strCache>
                <c:ptCount val="1"/>
                <c:pt idx="0">
                  <c:v>Face to Face</c:v>
                </c:pt>
              </c:strCache>
            </c:strRef>
          </c:tx>
          <c:spPr>
            <a:ln w="25400" cap="flat" cmpd="sng" algn="ctr">
              <a:solidFill>
                <a:srgbClr val="9BBB59">
                  <a:lumMod val="75000"/>
                </a:srgbClr>
              </a:solidFill>
              <a:prstDash val="solid"/>
            </a:ln>
            <a:effectLst/>
          </c:spPr>
          <c:marker>
            <c:spPr>
              <a:solidFill>
                <a:schemeClr val="lt1"/>
              </a:solidFill>
              <a:ln w="25400" cap="flat" cmpd="sng" algn="ctr">
                <a:solidFill>
                  <a:srgbClr val="9BBB59">
                    <a:lumMod val="75000"/>
                  </a:srgbClr>
                </a:solidFill>
                <a:prstDash val="solid"/>
              </a:ln>
              <a:effectLst/>
            </c:spPr>
          </c:marker>
          <c:dPt>
            <c:idx val="0"/>
            <c:bubble3D val="0"/>
            <c:extLst xmlns:c16r2="http://schemas.microsoft.com/office/drawing/2015/06/chart">
              <c:ext xmlns:c16="http://schemas.microsoft.com/office/drawing/2014/chart" uri="{C3380CC4-5D6E-409C-BE32-E72D297353CC}">
                <c16:uniqueId val="{00000000-8296-46E1-A559-1E0D94E10BCA}"/>
              </c:ext>
            </c:extLst>
          </c:dPt>
          <c:dLbls>
            <c:spPr>
              <a:ln>
                <a:noFill/>
              </a:ln>
            </c:spPr>
            <c:txPr>
              <a:bodyPr/>
              <a:lstStyle/>
              <a:p>
                <a:pPr>
                  <a:defRPr sz="800" b="1">
                    <a:solidFill>
                      <a:schemeClr val="accent3">
                        <a:lumMod val="50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0.0%</c:formatCode>
                <c:ptCount val="5"/>
                <c:pt idx="0">
                  <c:v>0.69054361125677299</c:v>
                </c:pt>
                <c:pt idx="1">
                  <c:v>0.68738669641612005</c:v>
                </c:pt>
                <c:pt idx="2">
                  <c:v>0.68597034264324797</c:v>
                </c:pt>
                <c:pt idx="3">
                  <c:v>0.68999417136195795</c:v>
                </c:pt>
                <c:pt idx="4">
                  <c:v>0.70399999999999996</c:v>
                </c:pt>
              </c:numCache>
            </c:numRef>
          </c:val>
          <c:smooth val="0"/>
          <c:extLst xmlns:c16r2="http://schemas.microsoft.com/office/drawing/2015/06/chart">
            <c:ext xmlns:c16="http://schemas.microsoft.com/office/drawing/2014/chart" uri="{C3380CC4-5D6E-409C-BE32-E72D297353CC}">
              <c16:uniqueId val="{00000001-8296-46E1-A559-1E0D94E10BCA}"/>
            </c:ext>
          </c:extLst>
        </c:ser>
        <c:ser>
          <c:idx val="0"/>
          <c:order val="1"/>
          <c:tx>
            <c:strRef>
              <c:f>Sheet1!$B$1</c:f>
              <c:strCache>
                <c:ptCount val="1"/>
                <c:pt idx="0">
                  <c:v>Online</c:v>
                </c:pt>
              </c:strCache>
            </c:strRef>
          </c:tx>
          <c:spPr>
            <a:ln w="25400" cap="flat" cmpd="sng" algn="ctr">
              <a:solidFill>
                <a:srgbClr val="9BBB59">
                  <a:lumMod val="60000"/>
                  <a:lumOff val="40000"/>
                </a:srgbClr>
              </a:solidFill>
              <a:prstDash val="solid"/>
            </a:ln>
            <a:effectLst/>
          </c:spPr>
          <c:marker>
            <c:symbol val="square"/>
            <c:size val="7"/>
            <c:spPr>
              <a:solidFill>
                <a:schemeClr val="lt1"/>
              </a:solidFill>
              <a:ln w="25400" cap="flat" cmpd="sng" algn="ctr">
                <a:solidFill>
                  <a:srgbClr val="9BBB59">
                    <a:lumMod val="60000"/>
                    <a:lumOff val="40000"/>
                  </a:srgbClr>
                </a:solidFill>
                <a:prstDash val="solid"/>
              </a:ln>
              <a:effectLst/>
            </c:spPr>
          </c:marker>
          <c:dLbls>
            <c:spPr>
              <a:ln>
                <a:noFill/>
              </a:ln>
            </c:spPr>
            <c:txPr>
              <a:bodyPr/>
              <a:lstStyle/>
              <a:p>
                <a:pPr>
                  <a:defRPr sz="800" b="1">
                    <a:solidFill>
                      <a:schemeClr val="accent3">
                        <a:lumMod val="75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0.0%</c:formatCode>
                <c:ptCount val="5"/>
                <c:pt idx="0">
                  <c:v>0.60587431693989102</c:v>
                </c:pt>
                <c:pt idx="1">
                  <c:v>0.60556573904349298</c:v>
                </c:pt>
                <c:pt idx="2">
                  <c:v>0.61039815728858204</c:v>
                </c:pt>
                <c:pt idx="3">
                  <c:v>0.62552139657036898</c:v>
                </c:pt>
                <c:pt idx="4">
                  <c:v>0.66100000000000003</c:v>
                </c:pt>
              </c:numCache>
            </c:numRef>
          </c:val>
          <c:smooth val="0"/>
          <c:extLst xmlns:c16r2="http://schemas.microsoft.com/office/drawing/2015/06/chart">
            <c:ext xmlns:c16="http://schemas.microsoft.com/office/drawing/2014/chart" uri="{C3380CC4-5D6E-409C-BE32-E72D297353CC}">
              <c16:uniqueId val="{00000002-8296-46E1-A559-1E0D94E10BCA}"/>
            </c:ext>
          </c:extLst>
        </c:ser>
        <c:dLbls>
          <c:dLblPos val="t"/>
          <c:showLegendKey val="0"/>
          <c:showVal val="1"/>
          <c:showCatName val="0"/>
          <c:showSerName val="0"/>
          <c:showPercent val="0"/>
          <c:showBubbleSize val="0"/>
        </c:dLbls>
        <c:marker val="1"/>
        <c:smooth val="0"/>
        <c:axId val="235498600"/>
        <c:axId val="235498992"/>
      </c:lineChart>
      <c:catAx>
        <c:axId val="235498600"/>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5498992"/>
        <c:crosses val="autoZero"/>
        <c:auto val="1"/>
        <c:lblAlgn val="ctr"/>
        <c:lblOffset val="100"/>
        <c:noMultiLvlLbl val="0"/>
      </c:catAx>
      <c:valAx>
        <c:axId val="235498992"/>
        <c:scaling>
          <c:orientation val="minMax"/>
          <c:max val="1"/>
          <c:min val="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35498600"/>
        <c:crosses val="autoZero"/>
        <c:crossBetween val="between"/>
      </c:valAx>
      <c:spPr>
        <a:ln>
          <a:noFill/>
        </a:ln>
      </c:spPr>
    </c:plotArea>
    <c:legend>
      <c:legendPos val="r"/>
      <c:layout>
        <c:manualLayout>
          <c:xMode val="edge"/>
          <c:yMode val="edge"/>
          <c:x val="0.81920406643384458"/>
          <c:y val="0.36973366701255367"/>
          <c:w val="0.17766069230036768"/>
          <c:h val="0.17814920356122521"/>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u="heavy" baseline="0">
                <a:solidFill>
                  <a:schemeClr val="accent6">
                    <a:lumMod val="75000"/>
                  </a:schemeClr>
                </a:solidFill>
                <a:uFill>
                  <a:solidFill>
                    <a:schemeClr val="accent6">
                      <a:lumMod val="75000"/>
                    </a:schemeClr>
                  </a:solidFill>
                </a:uFill>
                <a:latin typeface="Calibri" pitchFamily="34" charset="0"/>
              </a:rPr>
              <a:t>Orange Coast</a:t>
            </a:r>
          </a:p>
        </c:rich>
      </c:tx>
      <c:layout>
        <c:manualLayout>
          <c:xMode val="edge"/>
          <c:yMode val="edge"/>
          <c:x val="8.0676831274963945E-2"/>
          <c:y val="0"/>
        </c:manualLayout>
      </c:layout>
      <c:overlay val="1"/>
    </c:title>
    <c:autoTitleDeleted val="0"/>
    <c:plotArea>
      <c:layout>
        <c:manualLayout>
          <c:layoutTarget val="inner"/>
          <c:xMode val="edge"/>
          <c:yMode val="edge"/>
          <c:x val="6.1618839311752695E-2"/>
          <c:y val="0.10160518551603023"/>
          <c:w val="0.74246748323126277"/>
          <c:h val="0.7914802909422799"/>
        </c:manualLayout>
      </c:layout>
      <c:lineChart>
        <c:grouping val="standard"/>
        <c:varyColors val="0"/>
        <c:ser>
          <c:idx val="1"/>
          <c:order val="0"/>
          <c:tx>
            <c:strRef>
              <c:f>Sheet1!$C$1</c:f>
              <c:strCache>
                <c:ptCount val="1"/>
                <c:pt idx="0">
                  <c:v>Face to Face</c:v>
                </c:pt>
              </c:strCache>
            </c:strRef>
          </c:tx>
          <c:spPr>
            <a:ln w="25400" cap="flat" cmpd="sng" algn="ctr">
              <a:solidFill>
                <a:srgbClr val="F79646">
                  <a:lumMod val="75000"/>
                </a:srgbClr>
              </a:solidFill>
              <a:prstDash val="solid"/>
            </a:ln>
            <a:effectLst/>
          </c:spPr>
          <c:marker>
            <c:symbol val="triangle"/>
            <c:size val="7"/>
            <c:spPr>
              <a:solidFill>
                <a:schemeClr val="lt1"/>
              </a:solidFill>
              <a:ln w="25400" cap="flat" cmpd="sng" algn="ctr">
                <a:solidFill>
                  <a:srgbClr val="F79646">
                    <a:lumMod val="75000"/>
                  </a:srgbClr>
                </a:solidFill>
                <a:prstDash val="solid"/>
              </a:ln>
              <a:effectLst/>
            </c:spPr>
          </c:marker>
          <c:dPt>
            <c:idx val="0"/>
            <c:bubble3D val="0"/>
            <c:extLst xmlns:c16r2="http://schemas.microsoft.com/office/drawing/2015/06/chart">
              <c:ext xmlns:c16="http://schemas.microsoft.com/office/drawing/2014/chart" uri="{C3380CC4-5D6E-409C-BE32-E72D297353CC}">
                <c16:uniqueId val="{00000000-AEB0-4BA0-9A56-75D5843A09CA}"/>
              </c:ext>
            </c:extLst>
          </c:dPt>
          <c:dLbls>
            <c:spPr>
              <a:noFill/>
              <a:ln>
                <a:noFill/>
              </a:ln>
              <a:effectLst/>
            </c:spPr>
            <c:txPr>
              <a:bodyPr/>
              <a:lstStyle/>
              <a:p>
                <a:pPr>
                  <a:defRPr sz="800" b="1">
                    <a:solidFill>
                      <a:schemeClr val="accent6">
                        <a:lumMod val="75000"/>
                      </a:schemeClr>
                    </a:solidFill>
                    <a:latin typeface="Calibri" pitchFamily="34" charset="0"/>
                    <a:cs typeface="Arial"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0.0%</c:formatCode>
                <c:ptCount val="5"/>
                <c:pt idx="0">
                  <c:v>0.74299999999999999</c:v>
                </c:pt>
                <c:pt idx="1">
                  <c:v>0.73299999999999998</c:v>
                </c:pt>
                <c:pt idx="2">
                  <c:v>0.72099999999999997</c:v>
                </c:pt>
                <c:pt idx="3">
                  <c:v>0.71899999999999997</c:v>
                </c:pt>
                <c:pt idx="4">
                  <c:v>0.73</c:v>
                </c:pt>
              </c:numCache>
            </c:numRef>
          </c:val>
          <c:smooth val="0"/>
          <c:extLst xmlns:c16r2="http://schemas.microsoft.com/office/drawing/2015/06/chart">
            <c:ext xmlns:c16="http://schemas.microsoft.com/office/drawing/2014/chart" uri="{C3380CC4-5D6E-409C-BE32-E72D297353CC}">
              <c16:uniqueId val="{00000001-AEB0-4BA0-9A56-75D5843A09CA}"/>
            </c:ext>
          </c:extLst>
        </c:ser>
        <c:ser>
          <c:idx val="0"/>
          <c:order val="1"/>
          <c:tx>
            <c:strRef>
              <c:f>Sheet1!$B$1</c:f>
              <c:strCache>
                <c:ptCount val="1"/>
                <c:pt idx="0">
                  <c:v>Online</c:v>
                </c:pt>
              </c:strCache>
            </c:strRef>
          </c:tx>
          <c:spPr>
            <a:ln w="25400" cap="flat" cmpd="sng" algn="ctr">
              <a:solidFill>
                <a:srgbClr val="F79646">
                  <a:lumMod val="60000"/>
                  <a:lumOff val="40000"/>
                </a:srgbClr>
              </a:solidFill>
              <a:prstDash val="solid"/>
            </a:ln>
            <a:effectLst/>
          </c:spPr>
          <c:marker>
            <c:spPr>
              <a:solidFill>
                <a:schemeClr val="lt1"/>
              </a:solidFill>
              <a:ln w="25400" cap="flat" cmpd="sng" algn="ctr">
                <a:solidFill>
                  <a:srgbClr val="F79646">
                    <a:lumMod val="60000"/>
                    <a:lumOff val="40000"/>
                  </a:srgbClr>
                </a:solidFill>
                <a:prstDash val="solid"/>
              </a:ln>
              <a:effectLst/>
            </c:spPr>
          </c:marker>
          <c:dLbls>
            <c:spPr>
              <a:noFill/>
              <a:ln>
                <a:noFill/>
              </a:ln>
              <a:effectLst/>
            </c:spPr>
            <c:txPr>
              <a:bodyPr/>
              <a:lstStyle/>
              <a:p>
                <a:pPr>
                  <a:defRPr sz="800" b="1">
                    <a:solidFill>
                      <a:schemeClr val="accent6"/>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0.0%</c:formatCode>
                <c:ptCount val="5"/>
                <c:pt idx="0">
                  <c:v>0.64700000000000002</c:v>
                </c:pt>
                <c:pt idx="1">
                  <c:v>0.59499999999999997</c:v>
                </c:pt>
                <c:pt idx="2">
                  <c:v>0.61499999999999999</c:v>
                </c:pt>
                <c:pt idx="3">
                  <c:v>0.627</c:v>
                </c:pt>
                <c:pt idx="4">
                  <c:v>0.69099999999999995</c:v>
                </c:pt>
              </c:numCache>
            </c:numRef>
          </c:val>
          <c:smooth val="0"/>
          <c:extLst xmlns:c16r2="http://schemas.microsoft.com/office/drawing/2015/06/chart">
            <c:ext xmlns:c16="http://schemas.microsoft.com/office/drawing/2014/chart" uri="{C3380CC4-5D6E-409C-BE32-E72D297353CC}">
              <c16:uniqueId val="{00000002-AEB0-4BA0-9A56-75D5843A09CA}"/>
            </c:ext>
          </c:extLst>
        </c:ser>
        <c:dLbls>
          <c:dLblPos val="t"/>
          <c:showLegendKey val="0"/>
          <c:showVal val="1"/>
          <c:showCatName val="0"/>
          <c:showSerName val="0"/>
          <c:showPercent val="0"/>
          <c:showBubbleSize val="0"/>
        </c:dLbls>
        <c:marker val="1"/>
        <c:smooth val="0"/>
        <c:axId val="235499776"/>
        <c:axId val="232785552"/>
      </c:lineChart>
      <c:catAx>
        <c:axId val="235499776"/>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2785552"/>
        <c:crosses val="autoZero"/>
        <c:auto val="1"/>
        <c:lblAlgn val="ctr"/>
        <c:lblOffset val="100"/>
        <c:noMultiLvlLbl val="0"/>
      </c:catAx>
      <c:valAx>
        <c:axId val="232785552"/>
        <c:scaling>
          <c:orientation val="minMax"/>
          <c:max val="1"/>
          <c:min val="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latin typeface="Calibri" pitchFamily="34" charset="0"/>
              </a:defRPr>
            </a:pPr>
            <a:endParaRPr lang="en-US"/>
          </a:p>
        </c:txPr>
        <c:crossAx val="235499776"/>
        <c:crosses val="autoZero"/>
        <c:crossBetween val="between"/>
      </c:valAx>
    </c:plotArea>
    <c:legend>
      <c:legendPos val="r"/>
      <c:layout>
        <c:manualLayout>
          <c:xMode val="edge"/>
          <c:yMode val="edge"/>
          <c:x val="0.81938888888888894"/>
          <c:y val="0.3768852557552444"/>
          <c:w val="0.17767909501445991"/>
          <c:h val="0.17515621935158462"/>
        </c:manualLayout>
      </c:layout>
      <c:overlay val="0"/>
      <c:txPr>
        <a:bodyPr/>
        <a:lstStyle/>
        <a:p>
          <a:pPr>
            <a:defRPr>
              <a:latin typeface="Calibri" pitchFamily="34"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50"/>
            </a:pPr>
            <a:r>
              <a:rPr lang="en-US" sz="1050" b="1" i="0" u="none" strike="noStrike" baseline="0">
                <a:effectLst/>
                <a:latin typeface="Calibri" pitchFamily="34" charset="0"/>
              </a:rPr>
              <a:t>Students on Probation as Percentage of Overall Headcount</a:t>
            </a:r>
            <a:endParaRPr lang="en-US" sz="1050">
              <a:latin typeface="Calibri" pitchFamily="34" charset="0"/>
            </a:endParaRPr>
          </a:p>
        </c:rich>
      </c:tx>
      <c:layout>
        <c:manualLayout>
          <c:xMode val="edge"/>
          <c:yMode val="edge"/>
          <c:x val="0.25750065659448285"/>
          <c:y val="0"/>
        </c:manualLayout>
      </c:layout>
      <c:overlay val="1"/>
    </c:title>
    <c:autoTitleDeleted val="0"/>
    <c:plotArea>
      <c:layout>
        <c:manualLayout>
          <c:layoutTarget val="inner"/>
          <c:xMode val="edge"/>
          <c:yMode val="edge"/>
          <c:x val="6.8428276074429237E-2"/>
          <c:y val="0.11991429676279756"/>
          <c:w val="0.73381970410123321"/>
          <c:h val="0.69649048970919447"/>
        </c:manualLayout>
      </c:layout>
      <c:lineChart>
        <c:grouping val="standard"/>
        <c:varyColors val="0"/>
        <c:ser>
          <c:idx val="0"/>
          <c:order val="0"/>
          <c:tx>
            <c:strRef>
              <c:f>Sheet1!$B$1</c:f>
              <c:strCache>
                <c:ptCount val="1"/>
                <c:pt idx="0">
                  <c:v>Coastline</c:v>
                </c:pt>
              </c:strCache>
            </c:strRef>
          </c:tx>
          <c:spPr>
            <a:ln w="25400" cap="flat" cmpd="sng" algn="ctr">
              <a:solidFill>
                <a:srgbClr val="4F81BD"/>
              </a:solidFill>
              <a:prstDash val="solid"/>
            </a:ln>
            <a:effectLst/>
          </c:spPr>
          <c:marker>
            <c:spPr>
              <a:solidFill>
                <a:schemeClr val="lt1"/>
              </a:solidFill>
              <a:ln w="25400" cap="flat" cmpd="sng" algn="ctr">
                <a:solidFill>
                  <a:srgbClr val="4F81BD"/>
                </a:solidFill>
                <a:prstDash val="solid"/>
              </a:ln>
              <a:effectLst/>
            </c:spPr>
          </c:marker>
          <c:dLbls>
            <c:spPr>
              <a:solidFill>
                <a:sysClr val="window" lastClr="FFFFFF">
                  <a:alpha val="60000"/>
                </a:sysClr>
              </a:solidFill>
              <a:ln cap="rnd">
                <a:miter lim="800000"/>
              </a:ln>
              <a:effectLst/>
            </c:spPr>
            <c:txPr>
              <a:bodyPr anchor="ctr" anchorCtr="1"/>
              <a:lstStyle/>
              <a:p>
                <a:pPr>
                  <a:defRPr sz="800" b="1">
                    <a:solidFill>
                      <a:schemeClr val="accent1"/>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Sheet1!$B$2:$B$6</c:f>
              <c:numCache>
                <c:formatCode>0.0%</c:formatCode>
                <c:ptCount val="5"/>
                <c:pt idx="0">
                  <c:v>0.105</c:v>
                </c:pt>
                <c:pt idx="1">
                  <c:v>0.10299999999999999</c:v>
                </c:pt>
                <c:pt idx="2">
                  <c:v>0.105</c:v>
                </c:pt>
                <c:pt idx="3">
                  <c:v>0.12</c:v>
                </c:pt>
                <c:pt idx="4">
                  <c:v>0.121</c:v>
                </c:pt>
              </c:numCache>
            </c:numRef>
          </c:val>
          <c:smooth val="0"/>
          <c:extLst xmlns:c16r2="http://schemas.microsoft.com/office/drawing/2015/06/chart">
            <c:ext xmlns:c16="http://schemas.microsoft.com/office/drawing/2014/chart" uri="{C3380CC4-5D6E-409C-BE32-E72D297353CC}">
              <c16:uniqueId val="{00000000-2EE0-4DE9-AFCC-3A3502A55D45}"/>
            </c:ext>
          </c:extLst>
        </c:ser>
        <c:ser>
          <c:idx val="1"/>
          <c:order val="1"/>
          <c:tx>
            <c:strRef>
              <c:f>Sheet1!$C$1</c:f>
              <c:strCache>
                <c:ptCount val="1"/>
                <c:pt idx="0">
                  <c:v>Golden West</c:v>
                </c:pt>
              </c:strCache>
            </c:strRef>
          </c:tx>
          <c:spPr>
            <a:ln w="25400" cap="flat" cmpd="sng" algn="ctr">
              <a:solidFill>
                <a:srgbClr val="9BBB59">
                  <a:lumMod val="50000"/>
                </a:srgbClr>
              </a:solidFill>
              <a:prstDash val="solid"/>
            </a:ln>
            <a:effectLst/>
          </c:spPr>
          <c:marker>
            <c:spPr>
              <a:solidFill>
                <a:schemeClr val="lt1"/>
              </a:solidFill>
              <a:ln w="25400" cap="flat" cmpd="sng" algn="ctr">
                <a:solidFill>
                  <a:srgbClr val="9BBB59">
                    <a:lumMod val="50000"/>
                  </a:srgbClr>
                </a:solidFill>
                <a:prstDash val="solid"/>
              </a:ln>
              <a:effectLst/>
            </c:spPr>
          </c:marker>
          <c:dLbls>
            <c:dLbl>
              <c:idx val="0"/>
              <c:layout>
                <c:manualLayout>
                  <c:x val="-6.9999141656719929E-2"/>
                  <c:y val="2.50549831821817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E0-4DE9-AFCC-3A3502A55D45}"/>
                </c:ext>
                <c:ext xmlns:c15="http://schemas.microsoft.com/office/drawing/2012/chart" uri="{CE6537A1-D6FC-4f65-9D91-7224C49458BB}">
                  <c15:layout/>
                </c:ext>
              </c:extLst>
            </c:dLbl>
            <c:dLbl>
              <c:idx val="4"/>
              <c:layout>
                <c:manualLayout>
                  <c:x val="-6.6431368118489518E-3"/>
                  <c:y val="7.239911337613410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C5-443C-8D11-49E3DB117F6D}"/>
                </c:ext>
                <c:ext xmlns:c15="http://schemas.microsoft.com/office/drawing/2012/chart" uri="{CE6537A1-D6FC-4f65-9D91-7224C49458BB}">
                  <c15:layout/>
                </c:ext>
              </c:extLst>
            </c:dLbl>
            <c:spPr>
              <a:solidFill>
                <a:sysClr val="window" lastClr="FFFFFF">
                  <a:alpha val="60000"/>
                </a:sysClr>
              </a:solidFill>
            </c:spPr>
            <c:txPr>
              <a:bodyPr/>
              <a:lstStyle/>
              <a:p>
                <a:pPr>
                  <a:defRPr sz="800" b="1">
                    <a:solidFill>
                      <a:schemeClr val="accent3">
                        <a:lumMod val="50000"/>
                      </a:schemeClr>
                    </a:solidFill>
                    <a:latin typeface="Calibri"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Sheet1!$C$2:$C$6</c:f>
              <c:numCache>
                <c:formatCode>0.0%</c:formatCode>
                <c:ptCount val="5"/>
                <c:pt idx="0">
                  <c:v>0.14599999999999999</c:v>
                </c:pt>
                <c:pt idx="1">
                  <c:v>0.157</c:v>
                </c:pt>
                <c:pt idx="2">
                  <c:v>0.156</c:v>
                </c:pt>
                <c:pt idx="3">
                  <c:v>0.154</c:v>
                </c:pt>
                <c:pt idx="4">
                  <c:v>0.14299999999999999</c:v>
                </c:pt>
              </c:numCache>
            </c:numRef>
          </c:val>
          <c:smooth val="0"/>
          <c:extLst xmlns:c16r2="http://schemas.microsoft.com/office/drawing/2015/06/chart">
            <c:ext xmlns:c16="http://schemas.microsoft.com/office/drawing/2014/chart" uri="{C3380CC4-5D6E-409C-BE32-E72D297353CC}">
              <c16:uniqueId val="{00000002-2EE0-4DE9-AFCC-3A3502A55D45}"/>
            </c:ext>
          </c:extLst>
        </c:ser>
        <c:ser>
          <c:idx val="2"/>
          <c:order val="2"/>
          <c:tx>
            <c:strRef>
              <c:f>Sheet1!$D$1</c:f>
              <c:strCache>
                <c:ptCount val="1"/>
                <c:pt idx="0">
                  <c:v>Orange Coast</c:v>
                </c:pt>
              </c:strCache>
            </c:strRef>
          </c:tx>
          <c:spPr>
            <a:ln w="25400" cap="flat" cmpd="sng" algn="ctr">
              <a:solidFill>
                <a:srgbClr val="F79646">
                  <a:lumMod val="75000"/>
                </a:srgbClr>
              </a:solidFill>
              <a:prstDash val="solid"/>
            </a:ln>
            <a:effectLst/>
          </c:spPr>
          <c:marker>
            <c:spPr>
              <a:solidFill>
                <a:schemeClr val="lt1"/>
              </a:solidFill>
              <a:ln w="25400" cap="flat" cmpd="sng" algn="ctr">
                <a:solidFill>
                  <a:srgbClr val="F79646">
                    <a:lumMod val="75000"/>
                  </a:srgbClr>
                </a:solidFill>
                <a:prstDash val="solid"/>
              </a:ln>
              <a:effectLst/>
            </c:spPr>
          </c:marker>
          <c:dLbls>
            <c:dLbl>
              <c:idx val="0"/>
              <c:layout>
                <c:manualLayout>
                  <c:x val="-6.6272317842315756E-2"/>
                  <c:y val="-1.52630615175551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E0-4DE9-AFCC-3A3502A55D45}"/>
                </c:ext>
                <c:ext xmlns:c15="http://schemas.microsoft.com/office/drawing/2012/chart" uri="{CE6537A1-D6FC-4f65-9D91-7224C49458BB}">
                  <c15:layout/>
                </c:ext>
              </c:extLst>
            </c:dLbl>
            <c:dLbl>
              <c:idx val="4"/>
              <c:layout>
                <c:manualLayout>
                  <c:x val="-1.5960196347859387E-2"/>
                  <c:y val="-5.2591385260515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C5-443C-8D11-49E3DB117F6D}"/>
                </c:ext>
                <c:ext xmlns:c15="http://schemas.microsoft.com/office/drawing/2012/chart" uri="{CE6537A1-D6FC-4f65-9D91-7224C49458BB}">
                  <c15:layout/>
                </c:ext>
              </c:extLst>
            </c:dLbl>
            <c:spPr>
              <a:solidFill>
                <a:sysClr val="window" lastClr="FFFFFF">
                  <a:alpha val="60000"/>
                </a:sysClr>
              </a:solidFill>
            </c:spPr>
            <c:txPr>
              <a:bodyPr anchor="ctr" anchorCtr="1"/>
              <a:lstStyle/>
              <a:p>
                <a:pPr>
                  <a:defRPr sz="800" b="1">
                    <a:solidFill>
                      <a:schemeClr val="accent6">
                        <a:lumMod val="75000"/>
                      </a:schemeClr>
                    </a:solidFill>
                    <a:latin typeface="Calibri"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Sheet1!$A$2:$A$6</c:f>
              <c:strCache>
                <c:ptCount val="5"/>
                <c:pt idx="0">
                  <c:v>Fall  2012</c:v>
                </c:pt>
                <c:pt idx="1">
                  <c:v>Fall  2013</c:v>
                </c:pt>
                <c:pt idx="2">
                  <c:v>Fall  2014</c:v>
                </c:pt>
                <c:pt idx="3">
                  <c:v>Fall  2015</c:v>
                </c:pt>
                <c:pt idx="4">
                  <c:v>Fall 2016</c:v>
                </c:pt>
              </c:strCache>
            </c:strRef>
          </c:cat>
          <c:val>
            <c:numRef>
              <c:f>Sheet1!$D$2:$D$6</c:f>
              <c:numCache>
                <c:formatCode>0.0%</c:formatCode>
                <c:ptCount val="5"/>
                <c:pt idx="0">
                  <c:v>0.14599999999999999</c:v>
                </c:pt>
                <c:pt idx="1">
                  <c:v>0.14799999999999999</c:v>
                </c:pt>
                <c:pt idx="2">
                  <c:v>0.14799999999999999</c:v>
                </c:pt>
                <c:pt idx="3">
                  <c:v>0.15</c:v>
                </c:pt>
                <c:pt idx="4">
                  <c:v>0.14699999999999999</c:v>
                </c:pt>
              </c:numCache>
            </c:numRef>
          </c:val>
          <c:smooth val="0"/>
          <c:extLst xmlns:c16r2="http://schemas.microsoft.com/office/drawing/2015/06/chart">
            <c:ext xmlns:c16="http://schemas.microsoft.com/office/drawing/2014/chart" uri="{C3380CC4-5D6E-409C-BE32-E72D297353CC}">
              <c16:uniqueId val="{00000004-2EE0-4DE9-AFCC-3A3502A55D45}"/>
            </c:ext>
          </c:extLst>
        </c:ser>
        <c:dLbls>
          <c:dLblPos val="r"/>
          <c:showLegendKey val="0"/>
          <c:showVal val="1"/>
          <c:showCatName val="0"/>
          <c:showSerName val="0"/>
          <c:showPercent val="0"/>
          <c:showBubbleSize val="0"/>
        </c:dLbls>
        <c:marker val="1"/>
        <c:smooth val="0"/>
        <c:axId val="232786336"/>
        <c:axId val="232786728"/>
      </c:lineChart>
      <c:catAx>
        <c:axId val="232786336"/>
        <c:scaling>
          <c:orientation val="minMax"/>
        </c:scaling>
        <c:delete val="0"/>
        <c:axPos val="b"/>
        <c:numFmt formatCode="General" sourceLinked="1"/>
        <c:majorTickMark val="out"/>
        <c:minorTickMark val="none"/>
        <c:tickLblPos val="nextTo"/>
        <c:txPr>
          <a:bodyPr/>
          <a:lstStyle/>
          <a:p>
            <a:pPr>
              <a:defRPr>
                <a:latin typeface="Calibri" pitchFamily="34" charset="0"/>
              </a:defRPr>
            </a:pPr>
            <a:endParaRPr lang="en-US"/>
          </a:p>
        </c:txPr>
        <c:crossAx val="232786728"/>
        <c:crosses val="autoZero"/>
        <c:auto val="1"/>
        <c:lblAlgn val="ctr"/>
        <c:lblOffset val="100"/>
        <c:noMultiLvlLbl val="0"/>
      </c:catAx>
      <c:valAx>
        <c:axId val="232786728"/>
        <c:scaling>
          <c:orientation val="minMax"/>
          <c:max val="0.2"/>
          <c:min val="0"/>
        </c:scaling>
        <c:delete val="0"/>
        <c:axPos val="l"/>
        <c:majorGridlines>
          <c:spPr>
            <a:ln>
              <a:solidFill>
                <a:schemeClr val="bg1">
                  <a:lumMod val="85000"/>
                </a:schemeClr>
              </a:solidFill>
            </a:ln>
          </c:spPr>
        </c:majorGridlines>
        <c:numFmt formatCode="0.0%" sourceLinked="1"/>
        <c:majorTickMark val="out"/>
        <c:minorTickMark val="none"/>
        <c:tickLblPos val="nextTo"/>
        <c:txPr>
          <a:bodyPr/>
          <a:lstStyle/>
          <a:p>
            <a:pPr>
              <a:defRPr>
                <a:latin typeface="Calibri" pitchFamily="34" charset="0"/>
              </a:defRPr>
            </a:pPr>
            <a:endParaRPr lang="en-US"/>
          </a:p>
        </c:txPr>
        <c:crossAx val="232786336"/>
        <c:crosses val="autoZero"/>
        <c:crossBetween val="between"/>
        <c:majorUnit val="5.000000000000001E-2"/>
      </c:valAx>
    </c:plotArea>
    <c:legend>
      <c:legendPos val="r"/>
      <c:layout>
        <c:manualLayout>
          <c:xMode val="edge"/>
          <c:yMode val="edge"/>
          <c:x val="0.83813750934764442"/>
          <c:y val="0.3307063483649611"/>
          <c:w val="0.16186249065235561"/>
          <c:h val="0.33777674849467348"/>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0.66142</cdr:y>
    </cdr:from>
    <cdr:to>
      <cdr:x>0.15277</cdr:x>
      <cdr:y>1</cdr:y>
    </cdr:to>
    <cdr:sp macro="" textlink="">
      <cdr:nvSpPr>
        <cdr:cNvPr id="2" name="Text Box 1"/>
        <cdr:cNvSpPr txBox="1"/>
      </cdr:nvSpPr>
      <cdr:spPr>
        <a:xfrm xmlns:a="http://schemas.openxmlformats.org/drawingml/2006/main">
          <a:off x="0" y="183943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_rels/themeOverrid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Override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Angle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spDef>
      <a:spPr>
        <a:noFill/>
        <a:ln w="57150" cmpd="sng">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The primary purposes of the Institutional Effectiveness Report are to guide the improvement of instructional and student services programs, and to support the development of initiatives designed to promote student success. The results from this evaluation assist us in achieving these fundamental purposes.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2F2DD22611E9478146C764DAA7C68F" ma:contentTypeVersion="4" ma:contentTypeDescription="Create a new document." ma:contentTypeScope="" ma:versionID="804f60040be040ab56fb6b52d15fc460">
  <xsd:schema xmlns:xsd="http://www.w3.org/2001/XMLSchema" xmlns:xs="http://www.w3.org/2001/XMLSchema" xmlns:p="http://schemas.microsoft.com/office/2006/metadata/properties" xmlns:ns2="0ceafc29-5815-44bb-8734-b9d7da2cb19a" targetNamespace="http://schemas.microsoft.com/office/2006/metadata/properties" ma:root="true" ma:fieldsID="8f321529d30182c3bb79fea16b18a917" ns2:_="">
    <xsd:import namespace="0ceafc29-5815-44bb-8734-b9d7da2cb1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afc29-5815-44bb-8734-b9d7da2cb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CEC329-EA41-46BC-92E9-F1C4B23465C4}"/>
</file>

<file path=customXml/itemProps3.xml><?xml version="1.0" encoding="utf-8"?>
<ds:datastoreItem xmlns:ds="http://schemas.openxmlformats.org/officeDocument/2006/customXml" ds:itemID="{9AE13A83-3EF6-4096-9CEB-436A4D68A2DA}">
  <ds:schemaRefs>
    <ds:schemaRef ds:uri="http://schemas.microsoft.com/sharepoint/v3/contenttype/forms"/>
  </ds:schemaRefs>
</ds:datastoreItem>
</file>

<file path=customXml/itemProps4.xml><?xml version="1.0" encoding="utf-8"?>
<ds:datastoreItem xmlns:ds="http://schemas.openxmlformats.org/officeDocument/2006/customXml" ds:itemID="{9A19F4B6-4472-471E-8953-A4757C7DA172}">
  <ds:schemaRefs>
    <ds:schemaRef ds:uri="http://schemas.microsoft.com/office/2006/metadata/properties"/>
    <ds:schemaRef ds:uri="319191fa-786d-4a81-9a6d-f5d9b9c8ce2e"/>
  </ds:schemaRefs>
</ds:datastoreItem>
</file>

<file path=customXml/itemProps5.xml><?xml version="1.0" encoding="utf-8"?>
<ds:datastoreItem xmlns:ds="http://schemas.openxmlformats.org/officeDocument/2006/customXml" ds:itemID="{575267D0-F738-492C-AFD0-E38CD8740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18270</Words>
  <Characters>104142</Characters>
  <Application>Microsoft Office Word</Application>
  <DocSecurity>4</DocSecurity>
  <Lines>867</Lines>
  <Paragraphs>244</Paragraphs>
  <ScaleCrop>false</ScaleCrop>
  <HeadingPairs>
    <vt:vector size="2" baseType="variant">
      <vt:variant>
        <vt:lpstr>Title</vt:lpstr>
      </vt:variant>
      <vt:variant>
        <vt:i4>1</vt:i4>
      </vt:variant>
    </vt:vector>
  </HeadingPairs>
  <TitlesOfParts>
    <vt:vector size="1" baseType="lpstr">
      <vt:lpstr>District-wide Annual Institutional Effectiveness Report</vt:lpstr>
    </vt:vector>
  </TitlesOfParts>
  <Company>Coast Community College District</Company>
  <LinksUpToDate>false</LinksUpToDate>
  <CharactersWithSpaces>122168</CharactersWithSpaces>
  <SharedDoc>false</SharedDoc>
  <HLinks>
    <vt:vector size="372" baseType="variant">
      <vt:variant>
        <vt:i4>1507384</vt:i4>
      </vt:variant>
      <vt:variant>
        <vt:i4>368</vt:i4>
      </vt:variant>
      <vt:variant>
        <vt:i4>0</vt:i4>
      </vt:variant>
      <vt:variant>
        <vt:i4>5</vt:i4>
      </vt:variant>
      <vt:variant>
        <vt:lpwstr/>
      </vt:variant>
      <vt:variant>
        <vt:lpwstr>_Toc341183266</vt:lpwstr>
      </vt:variant>
      <vt:variant>
        <vt:i4>1507384</vt:i4>
      </vt:variant>
      <vt:variant>
        <vt:i4>362</vt:i4>
      </vt:variant>
      <vt:variant>
        <vt:i4>0</vt:i4>
      </vt:variant>
      <vt:variant>
        <vt:i4>5</vt:i4>
      </vt:variant>
      <vt:variant>
        <vt:lpwstr/>
      </vt:variant>
      <vt:variant>
        <vt:lpwstr>_Toc341183265</vt:lpwstr>
      </vt:variant>
      <vt:variant>
        <vt:i4>1507384</vt:i4>
      </vt:variant>
      <vt:variant>
        <vt:i4>356</vt:i4>
      </vt:variant>
      <vt:variant>
        <vt:i4>0</vt:i4>
      </vt:variant>
      <vt:variant>
        <vt:i4>5</vt:i4>
      </vt:variant>
      <vt:variant>
        <vt:lpwstr/>
      </vt:variant>
      <vt:variant>
        <vt:lpwstr>_Toc341183264</vt:lpwstr>
      </vt:variant>
      <vt:variant>
        <vt:i4>1507384</vt:i4>
      </vt:variant>
      <vt:variant>
        <vt:i4>350</vt:i4>
      </vt:variant>
      <vt:variant>
        <vt:i4>0</vt:i4>
      </vt:variant>
      <vt:variant>
        <vt:i4>5</vt:i4>
      </vt:variant>
      <vt:variant>
        <vt:lpwstr/>
      </vt:variant>
      <vt:variant>
        <vt:lpwstr>_Toc341183263</vt:lpwstr>
      </vt:variant>
      <vt:variant>
        <vt:i4>1507384</vt:i4>
      </vt:variant>
      <vt:variant>
        <vt:i4>344</vt:i4>
      </vt:variant>
      <vt:variant>
        <vt:i4>0</vt:i4>
      </vt:variant>
      <vt:variant>
        <vt:i4>5</vt:i4>
      </vt:variant>
      <vt:variant>
        <vt:lpwstr/>
      </vt:variant>
      <vt:variant>
        <vt:lpwstr>_Toc341183262</vt:lpwstr>
      </vt:variant>
      <vt:variant>
        <vt:i4>1507384</vt:i4>
      </vt:variant>
      <vt:variant>
        <vt:i4>338</vt:i4>
      </vt:variant>
      <vt:variant>
        <vt:i4>0</vt:i4>
      </vt:variant>
      <vt:variant>
        <vt:i4>5</vt:i4>
      </vt:variant>
      <vt:variant>
        <vt:lpwstr/>
      </vt:variant>
      <vt:variant>
        <vt:lpwstr>_Toc341183261</vt:lpwstr>
      </vt:variant>
      <vt:variant>
        <vt:i4>1507384</vt:i4>
      </vt:variant>
      <vt:variant>
        <vt:i4>332</vt:i4>
      </vt:variant>
      <vt:variant>
        <vt:i4>0</vt:i4>
      </vt:variant>
      <vt:variant>
        <vt:i4>5</vt:i4>
      </vt:variant>
      <vt:variant>
        <vt:lpwstr/>
      </vt:variant>
      <vt:variant>
        <vt:lpwstr>_Toc341183260</vt:lpwstr>
      </vt:variant>
      <vt:variant>
        <vt:i4>1310776</vt:i4>
      </vt:variant>
      <vt:variant>
        <vt:i4>326</vt:i4>
      </vt:variant>
      <vt:variant>
        <vt:i4>0</vt:i4>
      </vt:variant>
      <vt:variant>
        <vt:i4>5</vt:i4>
      </vt:variant>
      <vt:variant>
        <vt:lpwstr/>
      </vt:variant>
      <vt:variant>
        <vt:lpwstr>_Toc341183259</vt:lpwstr>
      </vt:variant>
      <vt:variant>
        <vt:i4>1310776</vt:i4>
      </vt:variant>
      <vt:variant>
        <vt:i4>320</vt:i4>
      </vt:variant>
      <vt:variant>
        <vt:i4>0</vt:i4>
      </vt:variant>
      <vt:variant>
        <vt:i4>5</vt:i4>
      </vt:variant>
      <vt:variant>
        <vt:lpwstr/>
      </vt:variant>
      <vt:variant>
        <vt:lpwstr>_Toc341183258</vt:lpwstr>
      </vt:variant>
      <vt:variant>
        <vt:i4>1310776</vt:i4>
      </vt:variant>
      <vt:variant>
        <vt:i4>314</vt:i4>
      </vt:variant>
      <vt:variant>
        <vt:i4>0</vt:i4>
      </vt:variant>
      <vt:variant>
        <vt:i4>5</vt:i4>
      </vt:variant>
      <vt:variant>
        <vt:lpwstr/>
      </vt:variant>
      <vt:variant>
        <vt:lpwstr>_Toc341183257</vt:lpwstr>
      </vt:variant>
      <vt:variant>
        <vt:i4>1310776</vt:i4>
      </vt:variant>
      <vt:variant>
        <vt:i4>308</vt:i4>
      </vt:variant>
      <vt:variant>
        <vt:i4>0</vt:i4>
      </vt:variant>
      <vt:variant>
        <vt:i4>5</vt:i4>
      </vt:variant>
      <vt:variant>
        <vt:lpwstr/>
      </vt:variant>
      <vt:variant>
        <vt:lpwstr>_Toc341183256</vt:lpwstr>
      </vt:variant>
      <vt:variant>
        <vt:i4>1310776</vt:i4>
      </vt:variant>
      <vt:variant>
        <vt:i4>302</vt:i4>
      </vt:variant>
      <vt:variant>
        <vt:i4>0</vt:i4>
      </vt:variant>
      <vt:variant>
        <vt:i4>5</vt:i4>
      </vt:variant>
      <vt:variant>
        <vt:lpwstr/>
      </vt:variant>
      <vt:variant>
        <vt:lpwstr>_Toc341183255</vt:lpwstr>
      </vt:variant>
      <vt:variant>
        <vt:i4>1310776</vt:i4>
      </vt:variant>
      <vt:variant>
        <vt:i4>296</vt:i4>
      </vt:variant>
      <vt:variant>
        <vt:i4>0</vt:i4>
      </vt:variant>
      <vt:variant>
        <vt:i4>5</vt:i4>
      </vt:variant>
      <vt:variant>
        <vt:lpwstr/>
      </vt:variant>
      <vt:variant>
        <vt:lpwstr>_Toc341183254</vt:lpwstr>
      </vt:variant>
      <vt:variant>
        <vt:i4>1310776</vt:i4>
      </vt:variant>
      <vt:variant>
        <vt:i4>290</vt:i4>
      </vt:variant>
      <vt:variant>
        <vt:i4>0</vt:i4>
      </vt:variant>
      <vt:variant>
        <vt:i4>5</vt:i4>
      </vt:variant>
      <vt:variant>
        <vt:lpwstr/>
      </vt:variant>
      <vt:variant>
        <vt:lpwstr>_Toc341183253</vt:lpwstr>
      </vt:variant>
      <vt:variant>
        <vt:i4>1310776</vt:i4>
      </vt:variant>
      <vt:variant>
        <vt:i4>284</vt:i4>
      </vt:variant>
      <vt:variant>
        <vt:i4>0</vt:i4>
      </vt:variant>
      <vt:variant>
        <vt:i4>5</vt:i4>
      </vt:variant>
      <vt:variant>
        <vt:lpwstr/>
      </vt:variant>
      <vt:variant>
        <vt:lpwstr>_Toc341183252</vt:lpwstr>
      </vt:variant>
      <vt:variant>
        <vt:i4>1310776</vt:i4>
      </vt:variant>
      <vt:variant>
        <vt:i4>278</vt:i4>
      </vt:variant>
      <vt:variant>
        <vt:i4>0</vt:i4>
      </vt:variant>
      <vt:variant>
        <vt:i4>5</vt:i4>
      </vt:variant>
      <vt:variant>
        <vt:lpwstr/>
      </vt:variant>
      <vt:variant>
        <vt:lpwstr>_Toc341183251</vt:lpwstr>
      </vt:variant>
      <vt:variant>
        <vt:i4>1310776</vt:i4>
      </vt:variant>
      <vt:variant>
        <vt:i4>272</vt:i4>
      </vt:variant>
      <vt:variant>
        <vt:i4>0</vt:i4>
      </vt:variant>
      <vt:variant>
        <vt:i4>5</vt:i4>
      </vt:variant>
      <vt:variant>
        <vt:lpwstr/>
      </vt:variant>
      <vt:variant>
        <vt:lpwstr>_Toc341183250</vt:lpwstr>
      </vt:variant>
      <vt:variant>
        <vt:i4>1376312</vt:i4>
      </vt:variant>
      <vt:variant>
        <vt:i4>266</vt:i4>
      </vt:variant>
      <vt:variant>
        <vt:i4>0</vt:i4>
      </vt:variant>
      <vt:variant>
        <vt:i4>5</vt:i4>
      </vt:variant>
      <vt:variant>
        <vt:lpwstr/>
      </vt:variant>
      <vt:variant>
        <vt:lpwstr>_Toc341183249</vt:lpwstr>
      </vt:variant>
      <vt:variant>
        <vt:i4>1376312</vt:i4>
      </vt:variant>
      <vt:variant>
        <vt:i4>260</vt:i4>
      </vt:variant>
      <vt:variant>
        <vt:i4>0</vt:i4>
      </vt:variant>
      <vt:variant>
        <vt:i4>5</vt:i4>
      </vt:variant>
      <vt:variant>
        <vt:lpwstr/>
      </vt:variant>
      <vt:variant>
        <vt:lpwstr>_Toc341183248</vt:lpwstr>
      </vt:variant>
      <vt:variant>
        <vt:i4>1376312</vt:i4>
      </vt:variant>
      <vt:variant>
        <vt:i4>254</vt:i4>
      </vt:variant>
      <vt:variant>
        <vt:i4>0</vt:i4>
      </vt:variant>
      <vt:variant>
        <vt:i4>5</vt:i4>
      </vt:variant>
      <vt:variant>
        <vt:lpwstr/>
      </vt:variant>
      <vt:variant>
        <vt:lpwstr>_Toc341183247</vt:lpwstr>
      </vt:variant>
      <vt:variant>
        <vt:i4>1376312</vt:i4>
      </vt:variant>
      <vt:variant>
        <vt:i4>248</vt:i4>
      </vt:variant>
      <vt:variant>
        <vt:i4>0</vt:i4>
      </vt:variant>
      <vt:variant>
        <vt:i4>5</vt:i4>
      </vt:variant>
      <vt:variant>
        <vt:lpwstr/>
      </vt:variant>
      <vt:variant>
        <vt:lpwstr>_Toc341183246</vt:lpwstr>
      </vt:variant>
      <vt:variant>
        <vt:i4>1376312</vt:i4>
      </vt:variant>
      <vt:variant>
        <vt:i4>242</vt:i4>
      </vt:variant>
      <vt:variant>
        <vt:i4>0</vt:i4>
      </vt:variant>
      <vt:variant>
        <vt:i4>5</vt:i4>
      </vt:variant>
      <vt:variant>
        <vt:lpwstr/>
      </vt:variant>
      <vt:variant>
        <vt:lpwstr>_Toc341183245</vt:lpwstr>
      </vt:variant>
      <vt:variant>
        <vt:i4>1376312</vt:i4>
      </vt:variant>
      <vt:variant>
        <vt:i4>236</vt:i4>
      </vt:variant>
      <vt:variant>
        <vt:i4>0</vt:i4>
      </vt:variant>
      <vt:variant>
        <vt:i4>5</vt:i4>
      </vt:variant>
      <vt:variant>
        <vt:lpwstr/>
      </vt:variant>
      <vt:variant>
        <vt:lpwstr>_Toc341183244</vt:lpwstr>
      </vt:variant>
      <vt:variant>
        <vt:i4>1376312</vt:i4>
      </vt:variant>
      <vt:variant>
        <vt:i4>230</vt:i4>
      </vt:variant>
      <vt:variant>
        <vt:i4>0</vt:i4>
      </vt:variant>
      <vt:variant>
        <vt:i4>5</vt:i4>
      </vt:variant>
      <vt:variant>
        <vt:lpwstr/>
      </vt:variant>
      <vt:variant>
        <vt:lpwstr>_Toc341183243</vt:lpwstr>
      </vt:variant>
      <vt:variant>
        <vt:i4>1376312</vt:i4>
      </vt:variant>
      <vt:variant>
        <vt:i4>224</vt:i4>
      </vt:variant>
      <vt:variant>
        <vt:i4>0</vt:i4>
      </vt:variant>
      <vt:variant>
        <vt:i4>5</vt:i4>
      </vt:variant>
      <vt:variant>
        <vt:lpwstr/>
      </vt:variant>
      <vt:variant>
        <vt:lpwstr>_Toc341183242</vt:lpwstr>
      </vt:variant>
      <vt:variant>
        <vt:i4>1376312</vt:i4>
      </vt:variant>
      <vt:variant>
        <vt:i4>218</vt:i4>
      </vt:variant>
      <vt:variant>
        <vt:i4>0</vt:i4>
      </vt:variant>
      <vt:variant>
        <vt:i4>5</vt:i4>
      </vt:variant>
      <vt:variant>
        <vt:lpwstr/>
      </vt:variant>
      <vt:variant>
        <vt:lpwstr>_Toc341183241</vt:lpwstr>
      </vt:variant>
      <vt:variant>
        <vt:i4>1376312</vt:i4>
      </vt:variant>
      <vt:variant>
        <vt:i4>212</vt:i4>
      </vt:variant>
      <vt:variant>
        <vt:i4>0</vt:i4>
      </vt:variant>
      <vt:variant>
        <vt:i4>5</vt:i4>
      </vt:variant>
      <vt:variant>
        <vt:lpwstr/>
      </vt:variant>
      <vt:variant>
        <vt:lpwstr>_Toc341183240</vt:lpwstr>
      </vt:variant>
      <vt:variant>
        <vt:i4>1179704</vt:i4>
      </vt:variant>
      <vt:variant>
        <vt:i4>206</vt:i4>
      </vt:variant>
      <vt:variant>
        <vt:i4>0</vt:i4>
      </vt:variant>
      <vt:variant>
        <vt:i4>5</vt:i4>
      </vt:variant>
      <vt:variant>
        <vt:lpwstr/>
      </vt:variant>
      <vt:variant>
        <vt:lpwstr>_Toc341183239</vt:lpwstr>
      </vt:variant>
      <vt:variant>
        <vt:i4>1179704</vt:i4>
      </vt:variant>
      <vt:variant>
        <vt:i4>200</vt:i4>
      </vt:variant>
      <vt:variant>
        <vt:i4>0</vt:i4>
      </vt:variant>
      <vt:variant>
        <vt:i4>5</vt:i4>
      </vt:variant>
      <vt:variant>
        <vt:lpwstr/>
      </vt:variant>
      <vt:variant>
        <vt:lpwstr>_Toc341183238</vt:lpwstr>
      </vt:variant>
      <vt:variant>
        <vt:i4>1179704</vt:i4>
      </vt:variant>
      <vt:variant>
        <vt:i4>194</vt:i4>
      </vt:variant>
      <vt:variant>
        <vt:i4>0</vt:i4>
      </vt:variant>
      <vt:variant>
        <vt:i4>5</vt:i4>
      </vt:variant>
      <vt:variant>
        <vt:lpwstr/>
      </vt:variant>
      <vt:variant>
        <vt:lpwstr>_Toc341183237</vt:lpwstr>
      </vt:variant>
      <vt:variant>
        <vt:i4>1179704</vt:i4>
      </vt:variant>
      <vt:variant>
        <vt:i4>188</vt:i4>
      </vt:variant>
      <vt:variant>
        <vt:i4>0</vt:i4>
      </vt:variant>
      <vt:variant>
        <vt:i4>5</vt:i4>
      </vt:variant>
      <vt:variant>
        <vt:lpwstr/>
      </vt:variant>
      <vt:variant>
        <vt:lpwstr>_Toc341183236</vt:lpwstr>
      </vt:variant>
      <vt:variant>
        <vt:i4>1179704</vt:i4>
      </vt:variant>
      <vt:variant>
        <vt:i4>182</vt:i4>
      </vt:variant>
      <vt:variant>
        <vt:i4>0</vt:i4>
      </vt:variant>
      <vt:variant>
        <vt:i4>5</vt:i4>
      </vt:variant>
      <vt:variant>
        <vt:lpwstr/>
      </vt:variant>
      <vt:variant>
        <vt:lpwstr>_Toc341183235</vt:lpwstr>
      </vt:variant>
      <vt:variant>
        <vt:i4>1179704</vt:i4>
      </vt:variant>
      <vt:variant>
        <vt:i4>176</vt:i4>
      </vt:variant>
      <vt:variant>
        <vt:i4>0</vt:i4>
      </vt:variant>
      <vt:variant>
        <vt:i4>5</vt:i4>
      </vt:variant>
      <vt:variant>
        <vt:lpwstr/>
      </vt:variant>
      <vt:variant>
        <vt:lpwstr>_Toc341183234</vt:lpwstr>
      </vt:variant>
      <vt:variant>
        <vt:i4>1179704</vt:i4>
      </vt:variant>
      <vt:variant>
        <vt:i4>170</vt:i4>
      </vt:variant>
      <vt:variant>
        <vt:i4>0</vt:i4>
      </vt:variant>
      <vt:variant>
        <vt:i4>5</vt:i4>
      </vt:variant>
      <vt:variant>
        <vt:lpwstr/>
      </vt:variant>
      <vt:variant>
        <vt:lpwstr>_Toc341183233</vt:lpwstr>
      </vt:variant>
      <vt:variant>
        <vt:i4>1179704</vt:i4>
      </vt:variant>
      <vt:variant>
        <vt:i4>164</vt:i4>
      </vt:variant>
      <vt:variant>
        <vt:i4>0</vt:i4>
      </vt:variant>
      <vt:variant>
        <vt:i4>5</vt:i4>
      </vt:variant>
      <vt:variant>
        <vt:lpwstr/>
      </vt:variant>
      <vt:variant>
        <vt:lpwstr>_Toc341183232</vt:lpwstr>
      </vt:variant>
      <vt:variant>
        <vt:i4>1179704</vt:i4>
      </vt:variant>
      <vt:variant>
        <vt:i4>158</vt:i4>
      </vt:variant>
      <vt:variant>
        <vt:i4>0</vt:i4>
      </vt:variant>
      <vt:variant>
        <vt:i4>5</vt:i4>
      </vt:variant>
      <vt:variant>
        <vt:lpwstr/>
      </vt:variant>
      <vt:variant>
        <vt:lpwstr>_Toc341183231</vt:lpwstr>
      </vt:variant>
      <vt:variant>
        <vt:i4>1179704</vt:i4>
      </vt:variant>
      <vt:variant>
        <vt:i4>152</vt:i4>
      </vt:variant>
      <vt:variant>
        <vt:i4>0</vt:i4>
      </vt:variant>
      <vt:variant>
        <vt:i4>5</vt:i4>
      </vt:variant>
      <vt:variant>
        <vt:lpwstr/>
      </vt:variant>
      <vt:variant>
        <vt:lpwstr>_Toc341183230</vt:lpwstr>
      </vt:variant>
      <vt:variant>
        <vt:i4>1245240</vt:i4>
      </vt:variant>
      <vt:variant>
        <vt:i4>146</vt:i4>
      </vt:variant>
      <vt:variant>
        <vt:i4>0</vt:i4>
      </vt:variant>
      <vt:variant>
        <vt:i4>5</vt:i4>
      </vt:variant>
      <vt:variant>
        <vt:lpwstr/>
      </vt:variant>
      <vt:variant>
        <vt:lpwstr>_Toc341183229</vt:lpwstr>
      </vt:variant>
      <vt:variant>
        <vt:i4>1245240</vt:i4>
      </vt:variant>
      <vt:variant>
        <vt:i4>140</vt:i4>
      </vt:variant>
      <vt:variant>
        <vt:i4>0</vt:i4>
      </vt:variant>
      <vt:variant>
        <vt:i4>5</vt:i4>
      </vt:variant>
      <vt:variant>
        <vt:lpwstr/>
      </vt:variant>
      <vt:variant>
        <vt:lpwstr>_Toc341183228</vt:lpwstr>
      </vt:variant>
      <vt:variant>
        <vt:i4>1245240</vt:i4>
      </vt:variant>
      <vt:variant>
        <vt:i4>134</vt:i4>
      </vt:variant>
      <vt:variant>
        <vt:i4>0</vt:i4>
      </vt:variant>
      <vt:variant>
        <vt:i4>5</vt:i4>
      </vt:variant>
      <vt:variant>
        <vt:lpwstr/>
      </vt:variant>
      <vt:variant>
        <vt:lpwstr>_Toc341183227</vt:lpwstr>
      </vt:variant>
      <vt:variant>
        <vt:i4>1245240</vt:i4>
      </vt:variant>
      <vt:variant>
        <vt:i4>128</vt:i4>
      </vt:variant>
      <vt:variant>
        <vt:i4>0</vt:i4>
      </vt:variant>
      <vt:variant>
        <vt:i4>5</vt:i4>
      </vt:variant>
      <vt:variant>
        <vt:lpwstr/>
      </vt:variant>
      <vt:variant>
        <vt:lpwstr>_Toc341183226</vt:lpwstr>
      </vt:variant>
      <vt:variant>
        <vt:i4>1245240</vt:i4>
      </vt:variant>
      <vt:variant>
        <vt:i4>122</vt:i4>
      </vt:variant>
      <vt:variant>
        <vt:i4>0</vt:i4>
      </vt:variant>
      <vt:variant>
        <vt:i4>5</vt:i4>
      </vt:variant>
      <vt:variant>
        <vt:lpwstr/>
      </vt:variant>
      <vt:variant>
        <vt:lpwstr>_Toc341183225</vt:lpwstr>
      </vt:variant>
      <vt:variant>
        <vt:i4>1245240</vt:i4>
      </vt:variant>
      <vt:variant>
        <vt:i4>116</vt:i4>
      </vt:variant>
      <vt:variant>
        <vt:i4>0</vt:i4>
      </vt:variant>
      <vt:variant>
        <vt:i4>5</vt:i4>
      </vt:variant>
      <vt:variant>
        <vt:lpwstr/>
      </vt:variant>
      <vt:variant>
        <vt:lpwstr>_Toc341183224</vt:lpwstr>
      </vt:variant>
      <vt:variant>
        <vt:i4>1245240</vt:i4>
      </vt:variant>
      <vt:variant>
        <vt:i4>110</vt:i4>
      </vt:variant>
      <vt:variant>
        <vt:i4>0</vt:i4>
      </vt:variant>
      <vt:variant>
        <vt:i4>5</vt:i4>
      </vt:variant>
      <vt:variant>
        <vt:lpwstr/>
      </vt:variant>
      <vt:variant>
        <vt:lpwstr>_Toc341183223</vt:lpwstr>
      </vt:variant>
      <vt:variant>
        <vt:i4>1245240</vt:i4>
      </vt:variant>
      <vt:variant>
        <vt:i4>104</vt:i4>
      </vt:variant>
      <vt:variant>
        <vt:i4>0</vt:i4>
      </vt:variant>
      <vt:variant>
        <vt:i4>5</vt:i4>
      </vt:variant>
      <vt:variant>
        <vt:lpwstr/>
      </vt:variant>
      <vt:variant>
        <vt:lpwstr>_Toc341183222</vt:lpwstr>
      </vt:variant>
      <vt:variant>
        <vt:i4>1245240</vt:i4>
      </vt:variant>
      <vt:variant>
        <vt:i4>98</vt:i4>
      </vt:variant>
      <vt:variant>
        <vt:i4>0</vt:i4>
      </vt:variant>
      <vt:variant>
        <vt:i4>5</vt:i4>
      </vt:variant>
      <vt:variant>
        <vt:lpwstr/>
      </vt:variant>
      <vt:variant>
        <vt:lpwstr>_Toc341183221</vt:lpwstr>
      </vt:variant>
      <vt:variant>
        <vt:i4>1245240</vt:i4>
      </vt:variant>
      <vt:variant>
        <vt:i4>92</vt:i4>
      </vt:variant>
      <vt:variant>
        <vt:i4>0</vt:i4>
      </vt:variant>
      <vt:variant>
        <vt:i4>5</vt:i4>
      </vt:variant>
      <vt:variant>
        <vt:lpwstr/>
      </vt:variant>
      <vt:variant>
        <vt:lpwstr>_Toc341183220</vt:lpwstr>
      </vt:variant>
      <vt:variant>
        <vt:i4>1048632</vt:i4>
      </vt:variant>
      <vt:variant>
        <vt:i4>86</vt:i4>
      </vt:variant>
      <vt:variant>
        <vt:i4>0</vt:i4>
      </vt:variant>
      <vt:variant>
        <vt:i4>5</vt:i4>
      </vt:variant>
      <vt:variant>
        <vt:lpwstr/>
      </vt:variant>
      <vt:variant>
        <vt:lpwstr>_Toc341183219</vt:lpwstr>
      </vt:variant>
      <vt:variant>
        <vt:i4>1048632</vt:i4>
      </vt:variant>
      <vt:variant>
        <vt:i4>80</vt:i4>
      </vt:variant>
      <vt:variant>
        <vt:i4>0</vt:i4>
      </vt:variant>
      <vt:variant>
        <vt:i4>5</vt:i4>
      </vt:variant>
      <vt:variant>
        <vt:lpwstr/>
      </vt:variant>
      <vt:variant>
        <vt:lpwstr>_Toc341183218</vt:lpwstr>
      </vt:variant>
      <vt:variant>
        <vt:i4>1048632</vt:i4>
      </vt:variant>
      <vt:variant>
        <vt:i4>74</vt:i4>
      </vt:variant>
      <vt:variant>
        <vt:i4>0</vt:i4>
      </vt:variant>
      <vt:variant>
        <vt:i4>5</vt:i4>
      </vt:variant>
      <vt:variant>
        <vt:lpwstr/>
      </vt:variant>
      <vt:variant>
        <vt:lpwstr>_Toc341183217</vt:lpwstr>
      </vt:variant>
      <vt:variant>
        <vt:i4>1048632</vt:i4>
      </vt:variant>
      <vt:variant>
        <vt:i4>68</vt:i4>
      </vt:variant>
      <vt:variant>
        <vt:i4>0</vt:i4>
      </vt:variant>
      <vt:variant>
        <vt:i4>5</vt:i4>
      </vt:variant>
      <vt:variant>
        <vt:lpwstr/>
      </vt:variant>
      <vt:variant>
        <vt:lpwstr>_Toc341183216</vt:lpwstr>
      </vt:variant>
      <vt:variant>
        <vt:i4>1048632</vt:i4>
      </vt:variant>
      <vt:variant>
        <vt:i4>62</vt:i4>
      </vt:variant>
      <vt:variant>
        <vt:i4>0</vt:i4>
      </vt:variant>
      <vt:variant>
        <vt:i4>5</vt:i4>
      </vt:variant>
      <vt:variant>
        <vt:lpwstr/>
      </vt:variant>
      <vt:variant>
        <vt:lpwstr>_Toc341183215</vt:lpwstr>
      </vt:variant>
      <vt:variant>
        <vt:i4>1048632</vt:i4>
      </vt:variant>
      <vt:variant>
        <vt:i4>56</vt:i4>
      </vt:variant>
      <vt:variant>
        <vt:i4>0</vt:i4>
      </vt:variant>
      <vt:variant>
        <vt:i4>5</vt:i4>
      </vt:variant>
      <vt:variant>
        <vt:lpwstr/>
      </vt:variant>
      <vt:variant>
        <vt:lpwstr>_Toc341183214</vt:lpwstr>
      </vt:variant>
      <vt:variant>
        <vt:i4>1048632</vt:i4>
      </vt:variant>
      <vt:variant>
        <vt:i4>50</vt:i4>
      </vt:variant>
      <vt:variant>
        <vt:i4>0</vt:i4>
      </vt:variant>
      <vt:variant>
        <vt:i4>5</vt:i4>
      </vt:variant>
      <vt:variant>
        <vt:lpwstr/>
      </vt:variant>
      <vt:variant>
        <vt:lpwstr>_Toc341183213</vt:lpwstr>
      </vt:variant>
      <vt:variant>
        <vt:i4>1048632</vt:i4>
      </vt:variant>
      <vt:variant>
        <vt:i4>44</vt:i4>
      </vt:variant>
      <vt:variant>
        <vt:i4>0</vt:i4>
      </vt:variant>
      <vt:variant>
        <vt:i4>5</vt:i4>
      </vt:variant>
      <vt:variant>
        <vt:lpwstr/>
      </vt:variant>
      <vt:variant>
        <vt:lpwstr>_Toc341183212</vt:lpwstr>
      </vt:variant>
      <vt:variant>
        <vt:i4>1048632</vt:i4>
      </vt:variant>
      <vt:variant>
        <vt:i4>38</vt:i4>
      </vt:variant>
      <vt:variant>
        <vt:i4>0</vt:i4>
      </vt:variant>
      <vt:variant>
        <vt:i4>5</vt:i4>
      </vt:variant>
      <vt:variant>
        <vt:lpwstr/>
      </vt:variant>
      <vt:variant>
        <vt:lpwstr>_Toc341183211</vt:lpwstr>
      </vt:variant>
      <vt:variant>
        <vt:i4>1048632</vt:i4>
      </vt:variant>
      <vt:variant>
        <vt:i4>32</vt:i4>
      </vt:variant>
      <vt:variant>
        <vt:i4>0</vt:i4>
      </vt:variant>
      <vt:variant>
        <vt:i4>5</vt:i4>
      </vt:variant>
      <vt:variant>
        <vt:lpwstr/>
      </vt:variant>
      <vt:variant>
        <vt:lpwstr>_Toc341183210</vt:lpwstr>
      </vt:variant>
      <vt:variant>
        <vt:i4>1114168</vt:i4>
      </vt:variant>
      <vt:variant>
        <vt:i4>26</vt:i4>
      </vt:variant>
      <vt:variant>
        <vt:i4>0</vt:i4>
      </vt:variant>
      <vt:variant>
        <vt:i4>5</vt:i4>
      </vt:variant>
      <vt:variant>
        <vt:lpwstr/>
      </vt:variant>
      <vt:variant>
        <vt:lpwstr>_Toc341183209</vt:lpwstr>
      </vt:variant>
      <vt:variant>
        <vt:i4>1114168</vt:i4>
      </vt:variant>
      <vt:variant>
        <vt:i4>20</vt:i4>
      </vt:variant>
      <vt:variant>
        <vt:i4>0</vt:i4>
      </vt:variant>
      <vt:variant>
        <vt:i4>5</vt:i4>
      </vt:variant>
      <vt:variant>
        <vt:lpwstr/>
      </vt:variant>
      <vt:variant>
        <vt:lpwstr>_Toc341183208</vt:lpwstr>
      </vt:variant>
      <vt:variant>
        <vt:i4>1114168</vt:i4>
      </vt:variant>
      <vt:variant>
        <vt:i4>14</vt:i4>
      </vt:variant>
      <vt:variant>
        <vt:i4>0</vt:i4>
      </vt:variant>
      <vt:variant>
        <vt:i4>5</vt:i4>
      </vt:variant>
      <vt:variant>
        <vt:lpwstr/>
      </vt:variant>
      <vt:variant>
        <vt:lpwstr>_Toc341183207</vt:lpwstr>
      </vt:variant>
      <vt:variant>
        <vt:i4>1114168</vt:i4>
      </vt:variant>
      <vt:variant>
        <vt:i4>8</vt:i4>
      </vt:variant>
      <vt:variant>
        <vt:i4>0</vt:i4>
      </vt:variant>
      <vt:variant>
        <vt:i4>5</vt:i4>
      </vt:variant>
      <vt:variant>
        <vt:lpwstr/>
      </vt:variant>
      <vt:variant>
        <vt:lpwstr>_Toc341183206</vt:lpwstr>
      </vt:variant>
      <vt:variant>
        <vt:i4>1114168</vt:i4>
      </vt:variant>
      <vt:variant>
        <vt:i4>2</vt:i4>
      </vt:variant>
      <vt:variant>
        <vt:i4>0</vt:i4>
      </vt:variant>
      <vt:variant>
        <vt:i4>5</vt:i4>
      </vt:variant>
      <vt:variant>
        <vt:lpwstr/>
      </vt:variant>
      <vt:variant>
        <vt:lpwstr>_Toc341183205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District-wide Annual Institutional Effectiveness Report</dc:title>
  <dc:subject>2016-17</dc:subject>
  <dc:creator>District Office of Research, Planning and Institutional Effectiveness</dc:creator>
  <cp:lastModifiedBy>Lopez, Yadira</cp:lastModifiedBy>
  <cp:revision>2</cp:revision>
  <cp:lastPrinted>2017-10-06T16:19:00Z</cp:lastPrinted>
  <dcterms:created xsi:type="dcterms:W3CDTF">2018-02-13T19:16:00Z</dcterms:created>
  <dcterms:modified xsi:type="dcterms:W3CDTF">2018-02-13T19:16:00Z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0x010100F52F2DD22611E9478146C764DAA7C68F</vt:lpwstr>
  </property>
</Properties>
</file>